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4A0" w:firstRow="1" w:lastRow="0" w:firstColumn="1" w:lastColumn="0" w:noHBand="0" w:noVBand="1"/>
      </w:tblPr>
      <w:tblGrid>
        <w:gridCol w:w="3686"/>
        <w:gridCol w:w="5704"/>
      </w:tblGrid>
      <w:tr w:rsidR="00176E4A" w:rsidRPr="00210295" w14:paraId="7452066F" w14:textId="77777777" w:rsidTr="00ED6355">
        <w:trPr>
          <w:trHeight w:val="1258"/>
        </w:trPr>
        <w:tc>
          <w:tcPr>
            <w:tcW w:w="3686" w:type="dxa"/>
            <w:shd w:val="clear" w:color="auto" w:fill="FFFFFF"/>
            <w:hideMark/>
          </w:tcPr>
          <w:p w14:paraId="21DC43EB" w14:textId="77777777" w:rsidR="00D75CAA" w:rsidRPr="00210295" w:rsidRDefault="00D75CAA">
            <w:pPr>
              <w:autoSpaceDE w:val="0"/>
              <w:autoSpaceDN w:val="0"/>
              <w:adjustRightInd w:val="0"/>
              <w:jc w:val="center"/>
              <w:rPr>
                <w:bCs/>
                <w:sz w:val="24"/>
                <w:lang w:val="en"/>
              </w:rPr>
            </w:pPr>
            <w:r w:rsidRPr="00210295">
              <w:rPr>
                <w:bCs/>
                <w:sz w:val="24"/>
                <w:lang w:val="en"/>
              </w:rPr>
              <w:t>HĐND TỈNH LÂM ĐỒNG</w:t>
            </w:r>
          </w:p>
          <w:p w14:paraId="1A265C14" w14:textId="77777777" w:rsidR="00D75CAA" w:rsidRPr="00210295" w:rsidRDefault="00D75CAA">
            <w:pPr>
              <w:autoSpaceDE w:val="0"/>
              <w:autoSpaceDN w:val="0"/>
              <w:adjustRightInd w:val="0"/>
              <w:ind w:right="-108"/>
              <w:jc w:val="center"/>
              <w:rPr>
                <w:b/>
                <w:bCs/>
                <w:sz w:val="26"/>
                <w:lang w:val="en"/>
              </w:rPr>
            </w:pPr>
            <w:r w:rsidRPr="00210295">
              <w:rPr>
                <w:noProof/>
              </w:rPr>
              <mc:AlternateContent>
                <mc:Choice Requires="wps">
                  <w:drawing>
                    <wp:anchor distT="4294967293" distB="4294967293" distL="114300" distR="114300" simplePos="0" relativeHeight="251659264" behindDoc="0" locked="0" layoutInCell="1" allowOverlap="1" wp14:anchorId="2DC3ED4A" wp14:editId="5072FF02">
                      <wp:simplePos x="0" y="0"/>
                      <wp:positionH relativeFrom="column">
                        <wp:posOffset>795655</wp:posOffset>
                      </wp:positionH>
                      <wp:positionV relativeFrom="paragraph">
                        <wp:posOffset>195579</wp:posOffset>
                      </wp:positionV>
                      <wp:extent cx="539750" cy="0"/>
                      <wp:effectExtent l="0" t="0" r="127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68B29"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65pt,15.4pt" to="105.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X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"/>
                  </w:pict>
                </mc:Fallback>
              </mc:AlternateContent>
            </w:r>
            <w:r w:rsidRPr="00210295">
              <w:rPr>
                <w:b/>
                <w:bCs/>
                <w:sz w:val="26"/>
                <w:lang w:val="en"/>
              </w:rPr>
              <w:t xml:space="preserve">BAN KINH TẾ - NGÂN SÁCH </w:t>
            </w:r>
          </w:p>
          <w:p w14:paraId="4CA71D3E" w14:textId="7361CB34" w:rsidR="00D75CAA" w:rsidRPr="00210295" w:rsidRDefault="00D75CAA">
            <w:pPr>
              <w:autoSpaceDE w:val="0"/>
              <w:autoSpaceDN w:val="0"/>
              <w:adjustRightInd w:val="0"/>
              <w:spacing w:before="100" w:beforeAutospacing="1"/>
              <w:jc w:val="center"/>
              <w:rPr>
                <w:b/>
                <w:sz w:val="26"/>
                <w:lang w:val="en"/>
              </w:rPr>
            </w:pPr>
            <w:r w:rsidRPr="00210295">
              <w:rPr>
                <w:sz w:val="26"/>
                <w:lang w:val="en"/>
              </w:rPr>
              <w:t>Số:       /BC-KTNS</w:t>
            </w:r>
          </w:p>
        </w:tc>
        <w:tc>
          <w:tcPr>
            <w:tcW w:w="5704" w:type="dxa"/>
            <w:shd w:val="clear" w:color="auto" w:fill="FFFFFF"/>
            <w:hideMark/>
          </w:tcPr>
          <w:p w14:paraId="4219B348" w14:textId="77777777" w:rsidR="00D75CAA" w:rsidRPr="00210295" w:rsidRDefault="00D75CAA">
            <w:pPr>
              <w:autoSpaceDE w:val="0"/>
              <w:autoSpaceDN w:val="0"/>
              <w:adjustRightInd w:val="0"/>
              <w:jc w:val="center"/>
              <w:rPr>
                <w:b/>
                <w:bCs/>
                <w:sz w:val="26"/>
                <w:lang w:val="en"/>
              </w:rPr>
            </w:pPr>
            <w:r w:rsidRPr="00210295">
              <w:rPr>
                <w:b/>
                <w:bCs/>
                <w:sz w:val="26"/>
                <w:lang w:val="en"/>
              </w:rPr>
              <w:t>CỘNG HÒA XÃ HỘI CHỦ NGHĨA VIỆT NAM</w:t>
            </w:r>
          </w:p>
          <w:p w14:paraId="6EFFB03D" w14:textId="77777777" w:rsidR="00D75CAA" w:rsidRPr="00210295" w:rsidRDefault="00D75CAA">
            <w:pPr>
              <w:autoSpaceDE w:val="0"/>
              <w:autoSpaceDN w:val="0"/>
              <w:adjustRightInd w:val="0"/>
              <w:jc w:val="center"/>
              <w:rPr>
                <w:sz w:val="14"/>
                <w:szCs w:val="12"/>
                <w:lang w:val="en"/>
              </w:rPr>
            </w:pPr>
            <w:r w:rsidRPr="00210295">
              <w:rPr>
                <w:b/>
                <w:bCs/>
                <w:szCs w:val="28"/>
                <w:lang w:val="en"/>
              </w:rPr>
              <w:t>Độc lập - Tự do - Hạnh phúc</w:t>
            </w:r>
            <w:r w:rsidRPr="00210295">
              <w:rPr>
                <w:b/>
                <w:bCs/>
                <w:sz w:val="14"/>
                <w:szCs w:val="12"/>
                <w:lang w:val="en"/>
              </w:rPr>
              <w:t xml:space="preserve">       </w:t>
            </w:r>
            <w:r w:rsidRPr="00210295">
              <w:rPr>
                <w:sz w:val="14"/>
                <w:szCs w:val="12"/>
                <w:lang w:val="en"/>
              </w:rPr>
              <w:t xml:space="preserve"> </w:t>
            </w:r>
          </w:p>
          <w:p w14:paraId="62190141" w14:textId="3C60158F" w:rsidR="00D75CAA" w:rsidRPr="00210295" w:rsidRDefault="00D75CAA" w:rsidP="00E34D54">
            <w:pPr>
              <w:autoSpaceDE w:val="0"/>
              <w:autoSpaceDN w:val="0"/>
              <w:adjustRightInd w:val="0"/>
              <w:spacing w:before="100" w:beforeAutospacing="1"/>
              <w:jc w:val="center"/>
              <w:rPr>
                <w:sz w:val="26"/>
                <w:lang w:val="en"/>
              </w:rPr>
            </w:pPr>
            <w:r w:rsidRPr="00210295">
              <w:rPr>
                <w:noProof/>
              </w:rPr>
              <mc:AlternateContent>
                <mc:Choice Requires="wps">
                  <w:drawing>
                    <wp:anchor distT="4294967293" distB="4294967293" distL="114300" distR="114300" simplePos="0" relativeHeight="251660288" behindDoc="0" locked="0" layoutInCell="1" allowOverlap="1" wp14:anchorId="66ADC25F" wp14:editId="33069DC4">
                      <wp:simplePos x="0" y="0"/>
                      <wp:positionH relativeFrom="column">
                        <wp:posOffset>641985</wp:posOffset>
                      </wp:positionH>
                      <wp:positionV relativeFrom="paragraph">
                        <wp:posOffset>14604</wp:posOffset>
                      </wp:positionV>
                      <wp:extent cx="216027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321C"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55pt,1.15pt" to="22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"/>
                  </w:pict>
                </mc:Fallback>
              </mc:AlternateContent>
            </w:r>
            <w:r w:rsidRPr="00210295">
              <w:rPr>
                <w:i/>
                <w:iCs/>
                <w:sz w:val="26"/>
                <w:lang w:val="en"/>
              </w:rPr>
              <w:t xml:space="preserve">Lâm Đồng, ngày </w:t>
            </w:r>
            <w:r w:rsidR="000324A4" w:rsidRPr="00210295">
              <w:rPr>
                <w:i/>
                <w:iCs/>
                <w:sz w:val="26"/>
                <w:lang w:val="en"/>
              </w:rPr>
              <w:t xml:space="preserve"> </w:t>
            </w:r>
            <w:r w:rsidRPr="00210295">
              <w:rPr>
                <w:i/>
                <w:iCs/>
                <w:sz w:val="26"/>
                <w:lang w:val="en"/>
              </w:rPr>
              <w:t xml:space="preserve">     tháng </w:t>
            </w:r>
            <w:r w:rsidR="00444CD6" w:rsidRPr="00210295">
              <w:rPr>
                <w:i/>
                <w:iCs/>
                <w:sz w:val="26"/>
                <w:lang w:val="en"/>
              </w:rPr>
              <w:t>1</w:t>
            </w:r>
            <w:r w:rsidR="00515B04" w:rsidRPr="00210295">
              <w:rPr>
                <w:i/>
                <w:iCs/>
                <w:sz w:val="26"/>
                <w:lang w:val="en"/>
              </w:rPr>
              <w:t xml:space="preserve">2 </w:t>
            </w:r>
            <w:r w:rsidRPr="00210295">
              <w:rPr>
                <w:i/>
                <w:iCs/>
                <w:sz w:val="26"/>
                <w:lang w:val="en"/>
              </w:rPr>
              <w:t>năm 202</w:t>
            </w:r>
            <w:r w:rsidR="000324A4" w:rsidRPr="00210295">
              <w:rPr>
                <w:i/>
                <w:iCs/>
                <w:sz w:val="26"/>
                <w:lang w:val="en"/>
              </w:rPr>
              <w:t>5</w:t>
            </w:r>
          </w:p>
        </w:tc>
      </w:tr>
    </w:tbl>
    <w:p w14:paraId="2D5BC343" w14:textId="77777777" w:rsidR="003223D7" w:rsidRPr="0042307C" w:rsidRDefault="003223D7" w:rsidP="004446B3">
      <w:pPr>
        <w:autoSpaceDE w:val="0"/>
        <w:autoSpaceDN w:val="0"/>
        <w:adjustRightInd w:val="0"/>
        <w:jc w:val="center"/>
        <w:rPr>
          <w:b/>
          <w:bCs/>
          <w:sz w:val="16"/>
          <w:szCs w:val="16"/>
          <w:lang w:val="en"/>
        </w:rPr>
      </w:pPr>
    </w:p>
    <w:p w14:paraId="09CDB8C7" w14:textId="18E892FD" w:rsidR="00D75CAA" w:rsidRPr="00210295" w:rsidRDefault="00D75CAA" w:rsidP="004446B3">
      <w:pPr>
        <w:autoSpaceDE w:val="0"/>
        <w:autoSpaceDN w:val="0"/>
        <w:adjustRightInd w:val="0"/>
        <w:jc w:val="center"/>
        <w:rPr>
          <w:b/>
          <w:bCs/>
          <w:szCs w:val="28"/>
          <w:lang w:val="en"/>
        </w:rPr>
      </w:pPr>
      <w:r w:rsidRPr="00210295">
        <w:rPr>
          <w:b/>
          <w:bCs/>
          <w:szCs w:val="28"/>
          <w:lang w:val="en"/>
        </w:rPr>
        <w:t>BÁO CÁO THẨM TRA</w:t>
      </w:r>
    </w:p>
    <w:p w14:paraId="09E1B672" w14:textId="47B2103E" w:rsidR="00210295" w:rsidRPr="00210295" w:rsidRDefault="00854B22" w:rsidP="00210295">
      <w:pPr>
        <w:widowControl w:val="0"/>
        <w:ind w:right="-142"/>
        <w:jc w:val="center"/>
        <w:rPr>
          <w:b/>
          <w:bCs/>
          <w:szCs w:val="28"/>
        </w:rPr>
      </w:pPr>
      <w:r w:rsidRPr="00210295">
        <w:rPr>
          <w:b/>
          <w:bCs/>
          <w:szCs w:val="28"/>
        </w:rPr>
        <w:t xml:space="preserve">Nghị quyết </w:t>
      </w:r>
      <w:r w:rsidR="00210295">
        <w:rPr>
          <w:b/>
          <w:bCs/>
          <w:szCs w:val="28"/>
        </w:rPr>
        <w:t>t</w:t>
      </w:r>
      <w:r w:rsidR="00210295" w:rsidRPr="00210295">
        <w:rPr>
          <w:b/>
          <w:bCs/>
          <w:szCs w:val="28"/>
        </w:rPr>
        <w:t xml:space="preserve">hông qua kế hoạch vốn đầu tư phát triển nguồn </w:t>
      </w:r>
    </w:p>
    <w:p w14:paraId="5B1BFE1F" w14:textId="3320F5BA" w:rsidR="00854B22" w:rsidRPr="00210295" w:rsidRDefault="00210295" w:rsidP="00210295">
      <w:pPr>
        <w:widowControl w:val="0"/>
        <w:ind w:right="-142"/>
        <w:jc w:val="center"/>
        <w:rPr>
          <w:b/>
          <w:bCs/>
          <w:szCs w:val="28"/>
          <w:lang w:val="vi-VN"/>
        </w:rPr>
      </w:pPr>
      <w:r w:rsidRPr="00210295">
        <w:rPr>
          <w:b/>
          <w:bCs/>
          <w:szCs w:val="28"/>
        </w:rPr>
        <w:t>ngân sách nhà nước năm 2026</w:t>
      </w:r>
    </w:p>
    <w:p w14:paraId="4C6E49BE" w14:textId="0DE09316" w:rsidR="00D75CAA" w:rsidRPr="00210295" w:rsidRDefault="00D75CAA" w:rsidP="00A52F44">
      <w:pPr>
        <w:jc w:val="center"/>
        <w:rPr>
          <w:b/>
          <w:sz w:val="22"/>
          <w:szCs w:val="28"/>
          <w:lang w:val="pt-BR"/>
        </w:rPr>
      </w:pPr>
      <w:r w:rsidRPr="00210295">
        <w:rPr>
          <w:noProof/>
          <w:sz w:val="22"/>
        </w:rPr>
        <mc:AlternateContent>
          <mc:Choice Requires="wps">
            <w:drawing>
              <wp:anchor distT="4294967293" distB="4294967293" distL="114300" distR="114300" simplePos="0" relativeHeight="251661312" behindDoc="0" locked="0" layoutInCell="1" allowOverlap="1" wp14:anchorId="1FDF2738" wp14:editId="4EF05FF7">
                <wp:simplePos x="0" y="0"/>
                <wp:positionH relativeFrom="column">
                  <wp:posOffset>2469515</wp:posOffset>
                </wp:positionH>
                <wp:positionV relativeFrom="paragraph">
                  <wp:posOffset>61594</wp:posOffset>
                </wp:positionV>
                <wp:extent cx="79184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9DC0"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4.45pt,4.85pt" to="25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"/>
            </w:pict>
          </mc:Fallback>
        </mc:AlternateContent>
      </w:r>
    </w:p>
    <w:p w14:paraId="6C97AA47" w14:textId="56C9251C" w:rsidR="00D75CAA" w:rsidRPr="00BA2F3F" w:rsidRDefault="00B003CC" w:rsidP="00A87E53">
      <w:pPr>
        <w:suppressAutoHyphens/>
        <w:spacing w:before="120" w:line="264" w:lineRule="auto"/>
        <w:ind w:firstLine="720"/>
        <w:jc w:val="both"/>
        <w:textDirection w:val="btLr"/>
        <w:textAlignment w:val="top"/>
        <w:outlineLvl w:val="0"/>
        <w:rPr>
          <w:bCs/>
          <w:szCs w:val="28"/>
        </w:rPr>
      </w:pPr>
      <w:r w:rsidRPr="00210295">
        <w:rPr>
          <w:szCs w:val="28"/>
        </w:rPr>
        <w:t xml:space="preserve">Thực hiện chức năng, nhiệm vụ theo luật định và </w:t>
      </w:r>
      <w:r w:rsidR="00E34D54" w:rsidRPr="00210295">
        <w:rPr>
          <w:szCs w:val="28"/>
        </w:rPr>
        <w:t>theo phân công</w:t>
      </w:r>
      <w:r w:rsidRPr="00210295">
        <w:rPr>
          <w:szCs w:val="28"/>
        </w:rPr>
        <w:t xml:space="preserve"> của Thường trực HĐND tỉnh; </w:t>
      </w:r>
      <w:r w:rsidR="00D75CAA" w:rsidRPr="00210295">
        <w:rPr>
          <w:szCs w:val="28"/>
        </w:rPr>
        <w:t xml:space="preserve">Ban Kinh tế - Ngân sách </w:t>
      </w:r>
      <w:r w:rsidR="004A6F20">
        <w:rPr>
          <w:szCs w:val="28"/>
        </w:rPr>
        <w:t xml:space="preserve">HĐND tỉnh đã </w:t>
      </w:r>
      <w:r w:rsidR="00D75CAA" w:rsidRPr="00210295">
        <w:rPr>
          <w:szCs w:val="28"/>
        </w:rPr>
        <w:t xml:space="preserve">tổ chức thẩm tra </w:t>
      </w:r>
      <w:r w:rsidR="003174E3" w:rsidRPr="00210295">
        <w:rPr>
          <w:szCs w:val="28"/>
        </w:rPr>
        <w:t xml:space="preserve">dự thảo </w:t>
      </w:r>
      <w:r w:rsidR="00515B04" w:rsidRPr="00210295">
        <w:rPr>
          <w:bCs/>
          <w:szCs w:val="28"/>
        </w:rPr>
        <w:t xml:space="preserve">Nghị quyết </w:t>
      </w:r>
      <w:r w:rsidR="00BA2F3F" w:rsidRPr="00BA2F3F">
        <w:rPr>
          <w:bCs/>
          <w:szCs w:val="28"/>
        </w:rPr>
        <w:t>thông qua kế hoạch vốn đầu tư phát triển nguồn ngân sách nhà nước năm 2026</w:t>
      </w:r>
      <w:r w:rsidR="00BD0177" w:rsidRPr="00210295">
        <w:rPr>
          <w:bCs/>
          <w:szCs w:val="28"/>
        </w:rPr>
        <w:t xml:space="preserve">; </w:t>
      </w:r>
      <w:r w:rsidR="00BD0177" w:rsidRPr="00210295">
        <w:rPr>
          <w:szCs w:val="28"/>
          <w:lang w:val="pt-BR"/>
        </w:rPr>
        <w:t>k</w:t>
      </w:r>
      <w:r w:rsidR="00D75CAA" w:rsidRPr="00210295">
        <w:rPr>
          <w:szCs w:val="28"/>
          <w:lang w:val="pt-BR"/>
        </w:rPr>
        <w:t>ết quả thẩm tra cụ thể như sau:</w:t>
      </w:r>
    </w:p>
    <w:p w14:paraId="40A67500" w14:textId="77777777" w:rsidR="00090792" w:rsidRPr="00176E4A" w:rsidRDefault="00090792" w:rsidP="00A87E53">
      <w:pPr>
        <w:autoSpaceDE w:val="0"/>
        <w:autoSpaceDN w:val="0"/>
        <w:adjustRightInd w:val="0"/>
        <w:spacing w:before="120" w:line="264" w:lineRule="auto"/>
        <w:ind w:firstLine="720"/>
        <w:jc w:val="both"/>
        <w:rPr>
          <w:b/>
        </w:rPr>
      </w:pPr>
      <w:r w:rsidRPr="00176E4A">
        <w:rPr>
          <w:b/>
        </w:rPr>
        <w:t>I. THÀNH PHẦN THAM DỰ THẨM TRA</w:t>
      </w:r>
      <w:r w:rsidRPr="00176E4A">
        <w:rPr>
          <w:rStyle w:val="FootnoteReference"/>
          <w:b/>
        </w:rPr>
        <w:footnoteReference w:id="1"/>
      </w:r>
      <w:r w:rsidRPr="00176E4A">
        <w:rPr>
          <w:b/>
        </w:rPr>
        <w:t xml:space="preserve">: </w:t>
      </w:r>
      <w:r w:rsidRPr="00176E4A">
        <w:t>Đảm bảo theo Giấy mời.</w:t>
      </w:r>
    </w:p>
    <w:p w14:paraId="4CE365C7" w14:textId="77777777" w:rsidR="00090792" w:rsidRPr="00176E4A" w:rsidRDefault="00090792" w:rsidP="00A87E53">
      <w:pPr>
        <w:autoSpaceDE w:val="0"/>
        <w:autoSpaceDN w:val="0"/>
        <w:adjustRightInd w:val="0"/>
        <w:spacing w:before="120" w:line="264" w:lineRule="auto"/>
        <w:ind w:firstLine="720"/>
        <w:jc w:val="both"/>
        <w:rPr>
          <w:b/>
        </w:rPr>
      </w:pPr>
      <w:r w:rsidRPr="00176E4A">
        <w:rPr>
          <w:b/>
        </w:rPr>
        <w:t>II. HỒ SƠ DỰ THẢO NGHỊ QUYẾT</w:t>
      </w:r>
      <w:r w:rsidRPr="00176E4A">
        <w:rPr>
          <w:rStyle w:val="FootnoteReference"/>
          <w:b/>
        </w:rPr>
        <w:footnoteReference w:id="2"/>
      </w:r>
      <w:r w:rsidRPr="00176E4A">
        <w:rPr>
          <w:b/>
        </w:rPr>
        <w:t xml:space="preserve">: </w:t>
      </w:r>
      <w:r w:rsidRPr="00176E4A">
        <w:t>Cơ bản đảm bảo theo quy định.</w:t>
      </w:r>
    </w:p>
    <w:p w14:paraId="4AC468E5" w14:textId="77777777" w:rsidR="00090792" w:rsidRPr="00176E4A" w:rsidRDefault="00090792" w:rsidP="00A87E53">
      <w:pPr>
        <w:autoSpaceDE w:val="0"/>
        <w:autoSpaceDN w:val="0"/>
        <w:adjustRightInd w:val="0"/>
        <w:spacing w:before="120" w:line="264" w:lineRule="auto"/>
        <w:ind w:firstLine="720"/>
        <w:jc w:val="both"/>
        <w:rPr>
          <w:b/>
          <w:szCs w:val="28"/>
          <w:lang w:val="pt-BR"/>
        </w:rPr>
      </w:pPr>
      <w:r w:rsidRPr="00176E4A">
        <w:rPr>
          <w:b/>
          <w:szCs w:val="28"/>
          <w:lang w:val="pt-BR"/>
        </w:rPr>
        <w:t>III. KẾT QUẢ THẨM TRA</w:t>
      </w:r>
    </w:p>
    <w:p w14:paraId="6BFD8D42" w14:textId="0E1BEA20" w:rsidR="00CD5993" w:rsidRDefault="00CD5993" w:rsidP="00A87E53">
      <w:pPr>
        <w:pBdr>
          <w:bottom w:val="none" w:sz="0" w:space="16" w:color="000000"/>
        </w:pBdr>
        <w:spacing w:before="120" w:line="264" w:lineRule="auto"/>
        <w:ind w:firstLine="720"/>
        <w:jc w:val="both"/>
        <w:rPr>
          <w:b/>
          <w:szCs w:val="28"/>
        </w:rPr>
      </w:pPr>
      <w:r w:rsidRPr="00176E4A">
        <w:rPr>
          <w:b/>
          <w:szCs w:val="28"/>
          <w:lang w:val="nb-NO"/>
        </w:rPr>
        <w:t>1. Về sự cần thiết</w:t>
      </w:r>
      <w:r w:rsidRPr="00176E4A">
        <w:rPr>
          <w:b/>
          <w:szCs w:val="28"/>
          <w:lang w:val="vi-VN"/>
        </w:rPr>
        <w:t xml:space="preserve"> và căn cứ pháp lý</w:t>
      </w:r>
      <w:r>
        <w:rPr>
          <w:b/>
          <w:szCs w:val="28"/>
        </w:rPr>
        <w:t xml:space="preserve"> </w:t>
      </w:r>
    </w:p>
    <w:p w14:paraId="4AA2CF7F" w14:textId="77777777" w:rsidR="00476491" w:rsidRDefault="00210295" w:rsidP="00A87E53">
      <w:pPr>
        <w:pBdr>
          <w:bottom w:val="none" w:sz="0" w:space="16" w:color="000000"/>
        </w:pBdr>
        <w:spacing w:before="120" w:line="264" w:lineRule="auto"/>
        <w:ind w:firstLine="720"/>
        <w:jc w:val="both"/>
        <w:rPr>
          <w:color w:val="000000"/>
          <w:szCs w:val="28"/>
        </w:rPr>
      </w:pPr>
      <w:r w:rsidRPr="00210295">
        <w:rPr>
          <w:rStyle w:val="fontstyle01"/>
          <w:rFonts w:ascii="Times New Roman" w:hAnsi="Times New Roman"/>
        </w:rPr>
        <w:t>Căn cứ khoản 3 Điều 8</w:t>
      </w:r>
      <w:r>
        <w:rPr>
          <w:rStyle w:val="fontstyle01"/>
          <w:rFonts w:ascii="Times New Roman" w:hAnsi="Times New Roman"/>
        </w:rPr>
        <w:t>8</w:t>
      </w:r>
      <w:r w:rsidRPr="00210295">
        <w:rPr>
          <w:rStyle w:val="fontstyle01"/>
          <w:rFonts w:ascii="Times New Roman" w:hAnsi="Times New Roman"/>
        </w:rPr>
        <w:t xml:space="preserve"> Luật Đầu tư công năm 20</w:t>
      </w:r>
      <w:r>
        <w:rPr>
          <w:rStyle w:val="fontstyle01"/>
          <w:rFonts w:ascii="Times New Roman" w:hAnsi="Times New Roman"/>
        </w:rPr>
        <w:t>24</w:t>
      </w:r>
      <w:r w:rsidRPr="00210295">
        <w:rPr>
          <w:rStyle w:val="fontstyle01"/>
          <w:rFonts w:ascii="Times New Roman" w:hAnsi="Times New Roman"/>
        </w:rPr>
        <w:t xml:space="preserve"> quy định nhiệm vụ, quyền hạn của HĐND các cấp: </w:t>
      </w:r>
      <w:r w:rsidRPr="00210295">
        <w:rPr>
          <w:rStyle w:val="fontstyle01"/>
          <w:rFonts w:ascii="Times New Roman" w:hAnsi="Times New Roman"/>
          <w:i/>
          <w:iCs/>
        </w:rPr>
        <w:t>“3. Quyết định kế hoạch đầu tư công trung hạn và hằng năm của địa phương, bao gồm danh mục và mức vốn bố trí cho từng dự án sử dụng vốn ngân sách địa phương.”</w:t>
      </w:r>
      <w:r w:rsidR="00972D55">
        <w:rPr>
          <w:rStyle w:val="fontstyle01"/>
          <w:rFonts w:ascii="Times New Roman" w:hAnsi="Times New Roman"/>
        </w:rPr>
        <w:t>.</w:t>
      </w:r>
      <w:r w:rsidR="00756334">
        <w:rPr>
          <w:rStyle w:val="fontstyle01"/>
          <w:rFonts w:ascii="Times New Roman" w:hAnsi="Times New Roman"/>
        </w:rPr>
        <w:t xml:space="preserve"> </w:t>
      </w:r>
    </w:p>
    <w:p w14:paraId="2048D20C" w14:textId="6C7F4DCF" w:rsidR="00D86AB7" w:rsidRPr="00476491" w:rsidRDefault="00476491" w:rsidP="00A87E53">
      <w:pPr>
        <w:pBdr>
          <w:bottom w:val="none" w:sz="0" w:space="16" w:color="000000"/>
        </w:pBdr>
        <w:spacing w:before="120" w:line="264" w:lineRule="auto"/>
        <w:ind w:firstLine="720"/>
        <w:jc w:val="both"/>
        <w:rPr>
          <w:color w:val="000000"/>
          <w:szCs w:val="28"/>
        </w:rPr>
      </w:pPr>
      <w:r>
        <w:rPr>
          <w:bCs/>
          <w:color w:val="000000"/>
          <w:szCs w:val="28"/>
        </w:rPr>
        <w:t>K</w:t>
      </w:r>
      <w:r w:rsidR="00D86AB7">
        <w:rPr>
          <w:bCs/>
          <w:color w:val="000000"/>
          <w:szCs w:val="28"/>
        </w:rPr>
        <w:t xml:space="preserve">ế hoạch đầu tư công năm 2026 được xây dựng </w:t>
      </w:r>
      <w:r w:rsidR="00D86AB7" w:rsidRPr="00D86AB7">
        <w:rPr>
          <w:bCs/>
          <w:color w:val="000000"/>
          <w:szCs w:val="28"/>
        </w:rPr>
        <w:t>gắn với Kế hoạch phát triển kinh tế - xã hội 5 năm 2026-2030</w:t>
      </w:r>
      <w:r>
        <w:rPr>
          <w:bCs/>
          <w:color w:val="000000"/>
          <w:szCs w:val="28"/>
        </w:rPr>
        <w:t xml:space="preserve">; </w:t>
      </w:r>
      <w:r>
        <w:rPr>
          <w:bCs/>
          <w:szCs w:val="28"/>
        </w:rPr>
        <w:t xml:space="preserve">Nghị quyết về </w:t>
      </w:r>
      <w:r w:rsidRPr="007A1C98">
        <w:rPr>
          <w:bCs/>
          <w:szCs w:val="28"/>
        </w:rPr>
        <w:t>kế hoạch tài chính 05 năm giai đoạn 2026-2030 tỉnh</w:t>
      </w:r>
      <w:r w:rsidR="00D86AB7" w:rsidRPr="00D86AB7">
        <w:rPr>
          <w:bCs/>
          <w:color w:val="000000"/>
          <w:szCs w:val="28"/>
        </w:rPr>
        <w:t xml:space="preserve"> và các Nghị quyết của Tỉnh ủy, </w:t>
      </w:r>
      <w:r w:rsidR="00DA3491">
        <w:rPr>
          <w:bCs/>
          <w:color w:val="000000"/>
          <w:szCs w:val="28"/>
        </w:rPr>
        <w:t>HĐND</w:t>
      </w:r>
      <w:r w:rsidR="00D86AB7" w:rsidRPr="00D86AB7">
        <w:rPr>
          <w:bCs/>
          <w:color w:val="000000"/>
          <w:szCs w:val="28"/>
        </w:rPr>
        <w:t xml:space="preserve"> tỉnh</w:t>
      </w:r>
      <w:r>
        <w:rPr>
          <w:bCs/>
          <w:color w:val="000000"/>
          <w:szCs w:val="28"/>
        </w:rPr>
        <w:t xml:space="preserve"> </w:t>
      </w:r>
      <w:r w:rsidR="00D86AB7">
        <w:rPr>
          <w:bCs/>
          <w:color w:val="000000"/>
          <w:szCs w:val="28"/>
        </w:rPr>
        <w:t>trong bối cảnh kế hoạch đầu tư công trung hạn giai đoạn 2026</w:t>
      </w:r>
      <w:r>
        <w:rPr>
          <w:bCs/>
          <w:color w:val="000000"/>
          <w:szCs w:val="28"/>
        </w:rPr>
        <w:t>-</w:t>
      </w:r>
      <w:r w:rsidR="00D86AB7">
        <w:rPr>
          <w:bCs/>
          <w:color w:val="000000"/>
          <w:szCs w:val="28"/>
        </w:rPr>
        <w:t>2030 của địa phương đang được rà soát, hoàn thiện để trình cấp có thẩm quyền quyết định theo quy định của Luật Đầu tư công năm 2024. Do đó, phương án phân bổ kế hoạch vốn năm 2026 được xác định trên cơ sở nguồn lực và khả năng cân đối ngân sách địa phương, không vượt trần cân đối đầu tư công, không làm phát sinh cam kết vượt khung kế hoạch trung hạn, đồng thời bảo đảm tính kế thừa, liên tục của các dự án đang triển khai và không làm gián đoạn các nhiệm vụ đầu tư cần thiết.</w:t>
      </w:r>
    </w:p>
    <w:p w14:paraId="4FF527E1" w14:textId="629C046A" w:rsidR="007A1C98" w:rsidRDefault="00476491" w:rsidP="00A87E53">
      <w:pPr>
        <w:pBdr>
          <w:bottom w:val="none" w:sz="0" w:space="16" w:color="000000"/>
        </w:pBdr>
        <w:spacing w:before="120" w:line="264" w:lineRule="auto"/>
        <w:ind w:firstLine="720"/>
        <w:jc w:val="both"/>
        <w:rPr>
          <w:color w:val="000000"/>
          <w:szCs w:val="28"/>
        </w:rPr>
      </w:pPr>
      <w:r>
        <w:rPr>
          <w:rStyle w:val="fontstyle01"/>
          <w:rFonts w:ascii="Times New Roman" w:hAnsi="Times New Roman"/>
        </w:rPr>
        <w:t xml:space="preserve">Như vậy, </w:t>
      </w:r>
      <w:r w:rsidR="00210295" w:rsidRPr="00210295">
        <w:rPr>
          <w:rStyle w:val="fontstyle01"/>
          <w:rFonts w:ascii="Times New Roman" w:hAnsi="Times New Roman"/>
        </w:rPr>
        <w:t xml:space="preserve">việc UBND tỉnh trình HĐND tỉnh quyết định </w:t>
      </w:r>
      <w:r w:rsidR="00BA2F3F" w:rsidRPr="00BA2F3F">
        <w:rPr>
          <w:rStyle w:val="fontstyle01"/>
          <w:rFonts w:ascii="Times New Roman" w:hAnsi="Times New Roman"/>
        </w:rPr>
        <w:t>thông qua kế hoạch vốn đầu tư phát triển nguồn ngân sách nhà nước năm 2026</w:t>
      </w:r>
      <w:r w:rsidR="00BA2F3F">
        <w:rPr>
          <w:rStyle w:val="fontstyle01"/>
          <w:rFonts w:ascii="Times New Roman" w:hAnsi="Times New Roman"/>
        </w:rPr>
        <w:t xml:space="preserve"> </w:t>
      </w:r>
      <w:r w:rsidR="00210295" w:rsidRPr="00210295">
        <w:rPr>
          <w:szCs w:val="28"/>
        </w:rPr>
        <w:t>là cần thiết và đúng</w:t>
      </w:r>
      <w:r w:rsidR="00210295" w:rsidRPr="00210295">
        <w:rPr>
          <w:rStyle w:val="fontstyle01"/>
          <w:rFonts w:ascii="Times New Roman" w:hAnsi="Times New Roman"/>
        </w:rPr>
        <w:t xml:space="preserve"> thẩm quyền.</w:t>
      </w:r>
      <w:r w:rsidR="00656706">
        <w:rPr>
          <w:color w:val="000000"/>
          <w:szCs w:val="28"/>
        </w:rPr>
        <w:t xml:space="preserve"> </w:t>
      </w:r>
    </w:p>
    <w:p w14:paraId="4F27DE18" w14:textId="77777777" w:rsidR="00476491" w:rsidRDefault="00D86AB7" w:rsidP="00A87E53">
      <w:pPr>
        <w:pBdr>
          <w:bottom w:val="none" w:sz="0" w:space="16" w:color="000000"/>
        </w:pBdr>
        <w:spacing w:before="120" w:line="264" w:lineRule="auto"/>
        <w:ind w:firstLine="720"/>
        <w:jc w:val="both"/>
        <w:rPr>
          <w:b/>
          <w:szCs w:val="28"/>
          <w:lang w:val="nl-NL"/>
        </w:rPr>
      </w:pPr>
      <w:r w:rsidRPr="00176E4A">
        <w:rPr>
          <w:b/>
          <w:szCs w:val="28"/>
          <w:lang w:val="nl-NL"/>
        </w:rPr>
        <w:lastRenderedPageBreak/>
        <w:t>2. Về nội dung dự thảo Nghị quyết</w:t>
      </w:r>
    </w:p>
    <w:p w14:paraId="59C9FFC7" w14:textId="77777777" w:rsidR="00C77FB1" w:rsidRDefault="00CD5993" w:rsidP="00A87E53">
      <w:pPr>
        <w:pBdr>
          <w:bottom w:val="none" w:sz="0" w:space="16" w:color="000000"/>
        </w:pBdr>
        <w:spacing w:before="120" w:line="264" w:lineRule="auto"/>
        <w:ind w:firstLine="720"/>
        <w:jc w:val="both"/>
        <w:rPr>
          <w:szCs w:val="28"/>
        </w:rPr>
      </w:pPr>
      <w:r w:rsidRPr="00D1205C">
        <w:rPr>
          <w:szCs w:val="28"/>
        </w:rPr>
        <w:t xml:space="preserve">Dự thảo Nghị quyết </w:t>
      </w:r>
      <w:r>
        <w:rPr>
          <w:szCs w:val="28"/>
        </w:rPr>
        <w:t>phân bổ</w:t>
      </w:r>
      <w:r w:rsidRPr="00087B2F">
        <w:rPr>
          <w:szCs w:val="28"/>
        </w:rPr>
        <w:t xml:space="preserve"> tổng số nguồn vốn ngân sách tỉnh kế hoạch năm 202</w:t>
      </w:r>
      <w:r w:rsidR="00737AB5">
        <w:rPr>
          <w:szCs w:val="28"/>
        </w:rPr>
        <w:t>6</w:t>
      </w:r>
      <w:r w:rsidRPr="00087B2F">
        <w:rPr>
          <w:szCs w:val="28"/>
        </w:rPr>
        <w:t xml:space="preserve"> là </w:t>
      </w:r>
      <w:r w:rsidR="00737AB5">
        <w:rPr>
          <w:bCs/>
          <w:color w:val="000000"/>
          <w:szCs w:val="28"/>
        </w:rPr>
        <w:t>15.221.555 triệu đồng</w:t>
      </w:r>
      <w:r w:rsidR="00737AB5">
        <w:rPr>
          <w:rStyle w:val="FootnoteReference"/>
        </w:rPr>
        <w:t xml:space="preserve"> </w:t>
      </w:r>
      <w:r>
        <w:rPr>
          <w:rStyle w:val="FootnoteReference"/>
        </w:rPr>
        <w:footnoteReference w:id="3"/>
      </w:r>
      <w:r>
        <w:rPr>
          <w:szCs w:val="28"/>
        </w:rPr>
        <w:t xml:space="preserve"> cùng với danh mục, mức vốn của từng dự án</w:t>
      </w:r>
      <w:r w:rsidRPr="00087B2F">
        <w:rPr>
          <w:szCs w:val="28"/>
        </w:rPr>
        <w:t xml:space="preserve">; cụ thể: </w:t>
      </w:r>
    </w:p>
    <w:p w14:paraId="01D3A5DA" w14:textId="23C96FD6" w:rsidR="00C77FB1" w:rsidRDefault="00C77FB1" w:rsidP="00A87E53">
      <w:pPr>
        <w:pBdr>
          <w:bottom w:val="none" w:sz="0" w:space="16" w:color="000000"/>
        </w:pBdr>
        <w:spacing w:before="120" w:line="264" w:lineRule="auto"/>
        <w:ind w:firstLine="720"/>
        <w:jc w:val="both"/>
        <w:rPr>
          <w:szCs w:val="28"/>
        </w:rPr>
      </w:pPr>
      <w:r>
        <w:rPr>
          <w:szCs w:val="28"/>
        </w:rPr>
        <w:t xml:space="preserve">a) Phân </w:t>
      </w:r>
      <w:r w:rsidR="00A87E53">
        <w:rPr>
          <w:szCs w:val="28"/>
        </w:rPr>
        <w:t xml:space="preserve">bổ </w:t>
      </w:r>
      <w:r>
        <w:rPr>
          <w:szCs w:val="28"/>
        </w:rPr>
        <w:t>theo nguồn vốn:</w:t>
      </w:r>
    </w:p>
    <w:p w14:paraId="604D647A" w14:textId="37BA90DA" w:rsidR="00C77FB1" w:rsidRDefault="00C77FB1" w:rsidP="00A87E53">
      <w:pPr>
        <w:pBdr>
          <w:bottom w:val="none" w:sz="0" w:space="16" w:color="000000"/>
        </w:pBdr>
        <w:spacing w:before="120" w:line="264" w:lineRule="auto"/>
        <w:ind w:firstLine="720"/>
        <w:jc w:val="both"/>
        <w:rPr>
          <w:szCs w:val="28"/>
        </w:rPr>
      </w:pPr>
      <w:r>
        <w:rPr>
          <w:bCs/>
          <w:color w:val="000000"/>
          <w:spacing w:val="-2"/>
          <w:szCs w:val="28"/>
        </w:rPr>
        <w:t>-</w:t>
      </w:r>
      <w:r w:rsidR="00737AB5">
        <w:rPr>
          <w:bCs/>
          <w:color w:val="000000"/>
          <w:spacing w:val="-2"/>
          <w:szCs w:val="28"/>
        </w:rPr>
        <w:t xml:space="preserve"> Vốn ngân sách trung ương hỗ trợ có mục tiêu (không bao gồm vốn thực hiện các Chương trình mục tiêu quốc gia) là 2.008.555 triệu đồng, gồm: Vốn trong nước là 1.708.638 triệu đồng và Vốn ngoài nước là 299.917 triệu đồng.</w:t>
      </w:r>
    </w:p>
    <w:p w14:paraId="6B7677CD" w14:textId="77777777" w:rsidR="00F86FB0" w:rsidRPr="00E24055" w:rsidRDefault="00C77FB1" w:rsidP="00A87E53">
      <w:pPr>
        <w:pBdr>
          <w:bottom w:val="none" w:sz="0" w:space="16" w:color="000000"/>
        </w:pBdr>
        <w:spacing w:before="120" w:line="264" w:lineRule="auto"/>
        <w:ind w:firstLine="720"/>
        <w:jc w:val="both"/>
        <w:rPr>
          <w:bCs/>
          <w:spacing w:val="-4"/>
          <w:szCs w:val="28"/>
        </w:rPr>
      </w:pPr>
      <w:r w:rsidRPr="00E24055">
        <w:rPr>
          <w:bCs/>
          <w:szCs w:val="28"/>
        </w:rPr>
        <w:t>-</w:t>
      </w:r>
      <w:r w:rsidR="00737AB5" w:rsidRPr="00E24055">
        <w:rPr>
          <w:bCs/>
          <w:szCs w:val="28"/>
        </w:rPr>
        <w:t xml:space="preserve"> Vốn ngân sách địa phương là 13.213.000 triệu đồng, tăng 980.100 triệu đồng so với kế hoạch vốn Thủ tướng Chính phủ giao, tăng tương ứng với nguồn thu ngân sách giao cao hơn so với dự toán của Trung ương giao, gồm:</w:t>
      </w:r>
      <w:r w:rsidRPr="00E24055">
        <w:rPr>
          <w:szCs w:val="28"/>
        </w:rPr>
        <w:t xml:space="preserve"> </w:t>
      </w:r>
      <w:r w:rsidR="00D93D83" w:rsidRPr="00E24055">
        <w:rPr>
          <w:szCs w:val="28"/>
        </w:rPr>
        <w:t xml:space="preserve">(1) </w:t>
      </w:r>
      <w:r w:rsidR="00D93D83" w:rsidRPr="00E24055">
        <w:rPr>
          <w:bCs/>
          <w:szCs w:val="28"/>
        </w:rPr>
        <w:t xml:space="preserve">Nguồn </w:t>
      </w:r>
      <w:r w:rsidR="00737AB5" w:rsidRPr="00E24055">
        <w:rPr>
          <w:bCs/>
          <w:szCs w:val="28"/>
        </w:rPr>
        <w:t xml:space="preserve">vốn tập trung trong nước là 1.750.000 triệu đồng, </w:t>
      </w:r>
      <w:r w:rsidR="00737AB5" w:rsidRPr="00E24055">
        <w:rPr>
          <w:noProof/>
          <w:szCs w:val="28"/>
          <w:lang w:val="es-CL"/>
        </w:rPr>
        <w:t xml:space="preserve">tăng 30.100 triệu đồng </w:t>
      </w:r>
      <w:bookmarkStart w:id="0" w:name="_Hlk215548876"/>
      <w:r w:rsidR="00737AB5" w:rsidRPr="00E24055">
        <w:rPr>
          <w:noProof/>
          <w:szCs w:val="28"/>
          <w:lang w:val="es-CL"/>
        </w:rPr>
        <w:t xml:space="preserve">so với dự toán </w:t>
      </w:r>
      <w:r w:rsidR="00737AB5" w:rsidRPr="00E24055">
        <w:rPr>
          <w:bCs/>
          <w:szCs w:val="28"/>
        </w:rPr>
        <w:t>trung ương g</w:t>
      </w:r>
      <w:bookmarkEnd w:id="0"/>
      <w:r w:rsidR="00737AB5" w:rsidRPr="00E24055">
        <w:rPr>
          <w:bCs/>
          <w:szCs w:val="28"/>
        </w:rPr>
        <w:t>iao</w:t>
      </w:r>
      <w:r w:rsidR="00D93D83" w:rsidRPr="00E24055">
        <w:rPr>
          <w:bCs/>
          <w:szCs w:val="28"/>
        </w:rPr>
        <w:t>; (2)</w:t>
      </w:r>
      <w:bookmarkStart w:id="1" w:name="_Hlk216295898"/>
      <w:r w:rsidR="00D93D83" w:rsidRPr="00E24055">
        <w:rPr>
          <w:bCs/>
          <w:szCs w:val="28"/>
        </w:rPr>
        <w:t xml:space="preserve"> </w:t>
      </w:r>
      <w:r w:rsidR="00D93D83" w:rsidRPr="00E24055">
        <w:rPr>
          <w:bCs/>
          <w:spacing w:val="-4"/>
          <w:szCs w:val="28"/>
        </w:rPr>
        <w:t>N</w:t>
      </w:r>
      <w:r w:rsidR="00737AB5" w:rsidRPr="00E24055">
        <w:rPr>
          <w:bCs/>
          <w:spacing w:val="-4"/>
          <w:szCs w:val="28"/>
        </w:rPr>
        <w:t>guồn thu tiền sử dụng đất là 5.525.000 triệu đồng</w:t>
      </w:r>
      <w:r w:rsidR="00D93D83" w:rsidRPr="00E24055">
        <w:rPr>
          <w:bCs/>
          <w:spacing w:val="-4"/>
          <w:szCs w:val="28"/>
        </w:rPr>
        <w:t xml:space="preserve">; (3) </w:t>
      </w:r>
      <w:bookmarkEnd w:id="1"/>
      <w:r w:rsidR="00D93D83" w:rsidRPr="00E24055">
        <w:rPr>
          <w:bCs/>
          <w:spacing w:val="-4"/>
          <w:szCs w:val="28"/>
        </w:rPr>
        <w:t>N</w:t>
      </w:r>
      <w:r w:rsidR="00737AB5" w:rsidRPr="00E24055">
        <w:rPr>
          <w:bCs/>
          <w:szCs w:val="28"/>
        </w:rPr>
        <w:t>guồn thu xổ số kiến thiết là 5.800.000 triệu đồng,</w:t>
      </w:r>
      <w:r w:rsidR="00737AB5" w:rsidRPr="00E24055">
        <w:rPr>
          <w:szCs w:val="28"/>
        </w:rPr>
        <w:t xml:space="preserve"> </w:t>
      </w:r>
      <w:r w:rsidR="00737AB5" w:rsidRPr="00E24055">
        <w:rPr>
          <w:bCs/>
          <w:szCs w:val="28"/>
        </w:rPr>
        <w:t>tăng 100.000 triệu đồng so với dự toán được trung ương giao</w:t>
      </w:r>
      <w:r w:rsidR="00D93D83" w:rsidRPr="00E24055">
        <w:rPr>
          <w:bCs/>
          <w:szCs w:val="28"/>
        </w:rPr>
        <w:t>; (4) N</w:t>
      </w:r>
      <w:r w:rsidR="00737AB5" w:rsidRPr="00E24055">
        <w:rPr>
          <w:bCs/>
          <w:spacing w:val="-4"/>
          <w:szCs w:val="28"/>
        </w:rPr>
        <w:t>guồn bội chi ngân sách địa phương (vay lại của Chính phủ vay nước ngoài) là 138.000 triệu đồng</w:t>
      </w:r>
      <w:r w:rsidR="00F86FB0" w:rsidRPr="00E24055">
        <w:rPr>
          <w:bCs/>
          <w:spacing w:val="-4"/>
          <w:szCs w:val="28"/>
        </w:rPr>
        <w:t>.</w:t>
      </w:r>
    </w:p>
    <w:p w14:paraId="1B5209AD" w14:textId="16BD0E2D" w:rsidR="00F86FB0" w:rsidRDefault="00F86FB0" w:rsidP="00A87E53">
      <w:pPr>
        <w:pBdr>
          <w:bottom w:val="none" w:sz="0" w:space="16" w:color="000000"/>
        </w:pBdr>
        <w:spacing w:before="120" w:line="264" w:lineRule="auto"/>
        <w:ind w:firstLine="720"/>
        <w:jc w:val="both"/>
        <w:rPr>
          <w:bCs/>
          <w:color w:val="000000"/>
          <w:szCs w:val="28"/>
        </w:rPr>
      </w:pPr>
      <w:r>
        <w:rPr>
          <w:bCs/>
          <w:color w:val="000000"/>
          <w:szCs w:val="28"/>
        </w:rPr>
        <w:t>b)</w:t>
      </w:r>
      <w:r w:rsidR="00737AB5">
        <w:rPr>
          <w:bCs/>
          <w:color w:val="000000"/>
          <w:szCs w:val="28"/>
        </w:rPr>
        <w:t xml:space="preserve"> Phân bổ theo cấp ngân sách </w:t>
      </w:r>
    </w:p>
    <w:p w14:paraId="4060DC66" w14:textId="77777777" w:rsidR="00F86FB0" w:rsidRDefault="00F86FB0" w:rsidP="00A87E53">
      <w:pPr>
        <w:pBdr>
          <w:bottom w:val="none" w:sz="0" w:space="16" w:color="000000"/>
        </w:pBdr>
        <w:spacing w:before="120" w:line="264" w:lineRule="auto"/>
        <w:ind w:firstLine="720"/>
        <w:jc w:val="both"/>
        <w:rPr>
          <w:bCs/>
          <w:color w:val="000000"/>
          <w:szCs w:val="28"/>
        </w:rPr>
      </w:pPr>
      <w:r>
        <w:rPr>
          <w:bCs/>
          <w:color w:val="000000"/>
          <w:szCs w:val="28"/>
        </w:rPr>
        <w:t>-</w:t>
      </w:r>
      <w:r w:rsidR="00737AB5">
        <w:rPr>
          <w:bCs/>
          <w:color w:val="000000"/>
          <w:szCs w:val="28"/>
        </w:rPr>
        <w:t xml:space="preserve"> </w:t>
      </w:r>
      <w:r>
        <w:rPr>
          <w:bCs/>
          <w:color w:val="000000"/>
          <w:szCs w:val="28"/>
        </w:rPr>
        <w:t>Chi đầu tư phát triển c</w:t>
      </w:r>
      <w:r w:rsidR="00737AB5">
        <w:rPr>
          <w:bCs/>
          <w:color w:val="000000"/>
          <w:szCs w:val="28"/>
        </w:rPr>
        <w:t xml:space="preserve">ấp tỉnh là 13.938.202 triệu đồng, </w:t>
      </w:r>
    </w:p>
    <w:p w14:paraId="724CB882" w14:textId="77777777" w:rsidR="00956B40" w:rsidRDefault="00F86FB0" w:rsidP="00A87E53">
      <w:pPr>
        <w:pBdr>
          <w:bottom w:val="none" w:sz="0" w:space="16" w:color="000000"/>
        </w:pBdr>
        <w:spacing w:before="120" w:line="264" w:lineRule="auto"/>
        <w:ind w:firstLine="720"/>
        <w:jc w:val="both"/>
        <w:rPr>
          <w:bCs/>
          <w:color w:val="000000"/>
          <w:szCs w:val="28"/>
        </w:rPr>
      </w:pPr>
      <w:r>
        <w:rPr>
          <w:bCs/>
          <w:color w:val="000000"/>
          <w:szCs w:val="28"/>
        </w:rPr>
        <w:t>-</w:t>
      </w:r>
      <w:r w:rsidR="00737AB5">
        <w:rPr>
          <w:bCs/>
          <w:color w:val="000000"/>
          <w:szCs w:val="28"/>
        </w:rPr>
        <w:t xml:space="preserve"> Chi đầu tư phát triển của ngân sách cấp xã năm 2026 </w:t>
      </w:r>
      <w:r>
        <w:rPr>
          <w:bCs/>
          <w:color w:val="000000"/>
          <w:szCs w:val="28"/>
        </w:rPr>
        <w:t xml:space="preserve">là 1.283.353 triệu đồng, trong đó: </w:t>
      </w:r>
      <w:r w:rsidR="00737AB5">
        <w:rPr>
          <w:bCs/>
          <w:color w:val="000000"/>
          <w:szCs w:val="28"/>
        </w:rPr>
        <w:t>Nguồn vốn đầu tư tập trung của ngân sách tỉnh phân cấp cho cấp xã theo Nghị quyết của HĐND tỉnh quy định các nguyên tắc, tiêu chí, định mức phân bổ vốn đầu tư công nguồn ngân sách địa phương giai đoạn 2026-2030 trên địa bàn tỉnh Lâm Đồng là 437.500 triệu đồng.</w:t>
      </w:r>
      <w:r w:rsidR="00956B40">
        <w:rPr>
          <w:bCs/>
          <w:color w:val="000000"/>
          <w:szCs w:val="28"/>
        </w:rPr>
        <w:t xml:space="preserve"> </w:t>
      </w:r>
      <w:r w:rsidR="00737AB5">
        <w:rPr>
          <w:bCs/>
          <w:color w:val="000000"/>
          <w:szCs w:val="28"/>
        </w:rPr>
        <w:t>Nguồn thu tiền sử dụng đất được để lại cho ngân sách cấp xã theo Nghị quyết của HĐND tỉnh về phân cấp nguồn thu, nhiệm vụ chi và tỷ lệ phân chia giữa các cấp ngân sách là 845.853 triệu đồng</w:t>
      </w:r>
      <w:r w:rsidR="00956B40">
        <w:rPr>
          <w:bCs/>
          <w:color w:val="000000"/>
          <w:szCs w:val="28"/>
        </w:rPr>
        <w:t>.</w:t>
      </w:r>
    </w:p>
    <w:p w14:paraId="38C9DB27" w14:textId="5776594D" w:rsidR="00CD5993" w:rsidRPr="00956B40" w:rsidRDefault="00CD5993" w:rsidP="00A87E53">
      <w:pPr>
        <w:pBdr>
          <w:bottom w:val="none" w:sz="0" w:space="16" w:color="000000"/>
        </w:pBdr>
        <w:spacing w:before="120" w:line="264" w:lineRule="auto"/>
        <w:ind w:firstLine="720"/>
        <w:jc w:val="both"/>
        <w:rPr>
          <w:bCs/>
          <w:color w:val="000000"/>
          <w:szCs w:val="28"/>
        </w:rPr>
      </w:pPr>
      <w:r>
        <w:rPr>
          <w:szCs w:val="28"/>
        </w:rPr>
        <w:t xml:space="preserve">Qua thẩm tra, </w:t>
      </w:r>
      <w:r w:rsidRPr="006F39F5">
        <w:rPr>
          <w:szCs w:val="28"/>
        </w:rPr>
        <w:t xml:space="preserve">Ban Kinh tế - Ngân sách HĐND tỉnh </w:t>
      </w:r>
      <w:r>
        <w:rPr>
          <w:szCs w:val="28"/>
        </w:rPr>
        <w:t>nhận thấy:</w:t>
      </w:r>
    </w:p>
    <w:p w14:paraId="5F260451" w14:textId="0FF8C523" w:rsidR="00956B40" w:rsidRDefault="00870DE2" w:rsidP="00A87E53">
      <w:pPr>
        <w:pBdr>
          <w:bottom w:val="none" w:sz="0" w:space="16" w:color="000000"/>
        </w:pBdr>
        <w:spacing w:before="120" w:line="264" w:lineRule="auto"/>
        <w:ind w:firstLine="720"/>
        <w:jc w:val="both"/>
        <w:rPr>
          <w:bCs/>
          <w:color w:val="000000"/>
          <w:szCs w:val="28"/>
        </w:rPr>
      </w:pPr>
      <w:r>
        <w:rPr>
          <w:bCs/>
          <w:color w:val="000000"/>
          <w:szCs w:val="28"/>
        </w:rPr>
        <w:t xml:space="preserve">- </w:t>
      </w:r>
      <w:r w:rsidR="00956B40">
        <w:rPr>
          <w:bCs/>
          <w:color w:val="000000"/>
          <w:szCs w:val="28"/>
        </w:rPr>
        <w:t>V</w:t>
      </w:r>
      <w:r w:rsidR="00F86FB0">
        <w:rPr>
          <w:bCs/>
          <w:color w:val="000000"/>
          <w:szCs w:val="28"/>
        </w:rPr>
        <w:t>iệc phân bổ kế hoạch vốn đầu tư phát triển năm 2026 được xây dựng tuân thủ</w:t>
      </w:r>
      <w:r w:rsidR="00956B40">
        <w:rPr>
          <w:bCs/>
          <w:color w:val="000000"/>
          <w:szCs w:val="28"/>
        </w:rPr>
        <w:t xml:space="preserve"> nguyên tắc,</w:t>
      </w:r>
      <w:r w:rsidR="00F86FB0">
        <w:rPr>
          <w:bCs/>
          <w:color w:val="000000"/>
          <w:szCs w:val="28"/>
        </w:rPr>
        <w:t xml:space="preserve"> thứ tự ưu tiên Luật Đầu tư công năm 2024</w:t>
      </w:r>
      <w:r w:rsidR="00956B40">
        <w:rPr>
          <w:bCs/>
          <w:color w:val="000000"/>
          <w:szCs w:val="28"/>
        </w:rPr>
        <w:t>.</w:t>
      </w:r>
    </w:p>
    <w:p w14:paraId="6FEBD98C" w14:textId="2B5DB8E4" w:rsidR="00D93D83" w:rsidRDefault="00870DE2" w:rsidP="00A87E53">
      <w:pPr>
        <w:pBdr>
          <w:bottom w:val="none" w:sz="0" w:space="16" w:color="000000"/>
        </w:pBdr>
        <w:spacing w:before="120" w:line="264" w:lineRule="auto"/>
        <w:ind w:firstLine="720"/>
        <w:jc w:val="both"/>
        <w:rPr>
          <w:bCs/>
          <w:color w:val="000000"/>
          <w:szCs w:val="28"/>
        </w:rPr>
      </w:pPr>
      <w:r>
        <w:rPr>
          <w:bCs/>
          <w:color w:val="000000"/>
          <w:szCs w:val="28"/>
        </w:rPr>
        <w:t xml:space="preserve">- </w:t>
      </w:r>
      <w:r w:rsidR="00D93D83" w:rsidRPr="00C80794">
        <w:rPr>
          <w:bCs/>
          <w:color w:val="000000"/>
          <w:szCs w:val="28"/>
        </w:rPr>
        <w:t>Việc bố trí vốn đầu tư từ nguồn thu xổ số kiến thiết thực hiện theo quy định tại Điều 9 Luật Ngân sách nhà nước; đồng thời phù hợp với chỉ đạo của Thủ tướng Chính phủ tại Chỉ thị số 25/CT-TTg ngày 08/8/2024 và Chỉ thị số 14/CT-TTg ngày 28/5/2025, theo đó ưu tiên sử dụng nguồn xổ số kiến thiết cho các lĩnh vực giáo dục, y tế, phúc lợi xã hội</w:t>
      </w:r>
      <w:r>
        <w:rPr>
          <w:bCs/>
          <w:color w:val="000000"/>
          <w:szCs w:val="28"/>
        </w:rPr>
        <w:t>.</w:t>
      </w:r>
    </w:p>
    <w:p w14:paraId="746566C7" w14:textId="42D86BB3" w:rsidR="00AC7FAD" w:rsidRDefault="00AC7FAD" w:rsidP="00A87E53">
      <w:pPr>
        <w:pBdr>
          <w:bottom w:val="none" w:sz="0" w:space="16" w:color="000000"/>
        </w:pBdr>
        <w:spacing w:before="120" w:line="264" w:lineRule="auto"/>
        <w:ind w:firstLine="720"/>
        <w:jc w:val="both"/>
        <w:rPr>
          <w:bCs/>
          <w:color w:val="000000"/>
          <w:szCs w:val="28"/>
        </w:rPr>
      </w:pPr>
      <w:r>
        <w:rPr>
          <w:bCs/>
          <w:color w:val="000000"/>
          <w:szCs w:val="28"/>
        </w:rPr>
        <w:lastRenderedPageBreak/>
        <w:t xml:space="preserve">- Về </w:t>
      </w:r>
      <w:r w:rsidR="008B6CCE">
        <w:rPr>
          <w:bCs/>
          <w:color w:val="000000"/>
          <w:szCs w:val="28"/>
        </w:rPr>
        <w:t>nguồn vốn chi đầu tư phát triển</w:t>
      </w:r>
      <w:r>
        <w:rPr>
          <w:bCs/>
          <w:color w:val="000000"/>
          <w:szCs w:val="28"/>
        </w:rPr>
        <w:t xml:space="preserve"> cơ bản khớp với Nghị quyết số 64/NQ-HĐND ngày </w:t>
      </w:r>
      <w:r w:rsidR="008B6CCE">
        <w:rPr>
          <w:bCs/>
          <w:color w:val="000000"/>
          <w:szCs w:val="28"/>
        </w:rPr>
        <w:t xml:space="preserve">10/12/2025 của HĐND tỉnh về </w:t>
      </w:r>
      <w:r w:rsidR="008B6CCE" w:rsidRPr="008B6CCE">
        <w:rPr>
          <w:bCs/>
          <w:color w:val="000000"/>
          <w:szCs w:val="28"/>
        </w:rPr>
        <w:t>dự toán thu ngân sách nhà nước trên địa bàn; dự toán thu, chi</w:t>
      </w:r>
      <w:r w:rsidR="008B6CCE">
        <w:rPr>
          <w:bCs/>
          <w:color w:val="000000"/>
          <w:szCs w:val="28"/>
        </w:rPr>
        <w:t xml:space="preserve"> </w:t>
      </w:r>
      <w:r w:rsidR="008B6CCE" w:rsidRPr="008B6CCE">
        <w:rPr>
          <w:bCs/>
          <w:color w:val="000000"/>
          <w:szCs w:val="28"/>
        </w:rPr>
        <w:t>ngân sách địa phương; phân bổ dự toán ngân sách địa phương năm 2026</w:t>
      </w:r>
      <w:r w:rsidR="008B6CCE">
        <w:rPr>
          <w:bCs/>
          <w:color w:val="000000"/>
          <w:szCs w:val="28"/>
        </w:rPr>
        <w:t>.</w:t>
      </w:r>
    </w:p>
    <w:p w14:paraId="703B0B1E" w14:textId="77777777" w:rsidR="00066372" w:rsidRDefault="00AC7FAD" w:rsidP="00066372">
      <w:pPr>
        <w:pBdr>
          <w:bottom w:val="none" w:sz="0" w:space="16" w:color="000000"/>
        </w:pBdr>
        <w:spacing w:before="120" w:line="264" w:lineRule="auto"/>
        <w:ind w:firstLine="709"/>
        <w:jc w:val="both"/>
        <w:rPr>
          <w:szCs w:val="28"/>
        </w:rPr>
      </w:pPr>
      <w:r>
        <w:rPr>
          <w:szCs w:val="28"/>
        </w:rPr>
        <w:t xml:space="preserve">- </w:t>
      </w:r>
      <w:r w:rsidR="00C96ADE">
        <w:rPr>
          <w:szCs w:val="28"/>
        </w:rPr>
        <w:t xml:space="preserve">Dự thảo </w:t>
      </w:r>
      <w:r w:rsidR="008D446A">
        <w:rPr>
          <w:szCs w:val="28"/>
        </w:rPr>
        <w:t>N</w:t>
      </w:r>
      <w:r w:rsidR="00C96ADE">
        <w:rPr>
          <w:szCs w:val="28"/>
        </w:rPr>
        <w:t>ghị quyết đã được ch</w:t>
      </w:r>
      <w:r w:rsidR="00CB6209">
        <w:rPr>
          <w:szCs w:val="28"/>
        </w:rPr>
        <w:t>ỉ</w:t>
      </w:r>
      <w:r w:rsidR="00C96ADE">
        <w:rPr>
          <w:szCs w:val="28"/>
        </w:rPr>
        <w:t>nh sửa, tiếp thu ý kiến của Thường trực Tỉnh</w:t>
      </w:r>
      <w:r w:rsidR="00CB6209">
        <w:rPr>
          <w:szCs w:val="28"/>
        </w:rPr>
        <w:t xml:space="preserve"> </w:t>
      </w:r>
      <w:r w:rsidR="00C96ADE">
        <w:rPr>
          <w:szCs w:val="28"/>
        </w:rPr>
        <w:t>ủy, Ban Thường vụ tỉnh ủy</w:t>
      </w:r>
      <w:r w:rsidR="00CB6209">
        <w:rPr>
          <w:szCs w:val="28"/>
        </w:rPr>
        <w:t>,</w:t>
      </w:r>
      <w:r w:rsidR="00C96ADE">
        <w:rPr>
          <w:szCs w:val="28"/>
        </w:rPr>
        <w:t xml:space="preserve"> các Kết luận của Thường trực H</w:t>
      </w:r>
      <w:r w:rsidR="00CB6209">
        <w:rPr>
          <w:szCs w:val="28"/>
        </w:rPr>
        <w:t>Đ</w:t>
      </w:r>
      <w:r w:rsidR="00C96ADE">
        <w:rPr>
          <w:szCs w:val="28"/>
        </w:rPr>
        <w:t>ND tỉnh</w:t>
      </w:r>
      <w:r w:rsidR="00CB6209">
        <w:rPr>
          <w:rStyle w:val="FootnoteReference"/>
          <w:szCs w:val="28"/>
        </w:rPr>
        <w:footnoteReference w:id="4"/>
      </w:r>
      <w:r w:rsidR="00C96ADE">
        <w:rPr>
          <w:szCs w:val="28"/>
        </w:rPr>
        <w:t xml:space="preserve"> </w:t>
      </w:r>
      <w:r w:rsidR="00CB6209">
        <w:rPr>
          <w:szCs w:val="28"/>
        </w:rPr>
        <w:t xml:space="preserve">và </w:t>
      </w:r>
      <w:r w:rsidR="00B6438D">
        <w:rPr>
          <w:szCs w:val="28"/>
        </w:rPr>
        <w:t>B</w:t>
      </w:r>
      <w:r w:rsidR="00CB6209">
        <w:rPr>
          <w:szCs w:val="28"/>
        </w:rPr>
        <w:t xml:space="preserve">áo cáo số 333/BC-KTNS </w:t>
      </w:r>
      <w:r w:rsidR="00384D94">
        <w:rPr>
          <w:szCs w:val="28"/>
        </w:rPr>
        <w:t>ngày 12/12/2026 của Ban Kinh tế - Ngân sách HĐND tỉnh.</w:t>
      </w:r>
    </w:p>
    <w:p w14:paraId="6CC9AC2E" w14:textId="727B074B" w:rsidR="00CD5993" w:rsidRPr="002C373A" w:rsidRDefault="00CD5993" w:rsidP="00A87E53">
      <w:pPr>
        <w:pBdr>
          <w:bottom w:val="none" w:sz="0" w:space="16" w:color="000000"/>
        </w:pBdr>
        <w:spacing w:before="120" w:line="264" w:lineRule="auto"/>
        <w:ind w:firstLine="709"/>
        <w:jc w:val="both"/>
        <w:rPr>
          <w:szCs w:val="28"/>
        </w:rPr>
      </w:pPr>
      <w:r w:rsidRPr="006F39F5">
        <w:rPr>
          <w:szCs w:val="28"/>
        </w:rPr>
        <w:t>Ban Kinh tế - Ngân sách HĐND tỉnh thống nhất với nội dung dự thảo nghị quyết.</w:t>
      </w:r>
    </w:p>
    <w:p w14:paraId="1BFA8750" w14:textId="1872572E" w:rsidR="00B6438D" w:rsidRDefault="007A1C98" w:rsidP="00A87E53">
      <w:pPr>
        <w:pBdr>
          <w:bottom w:val="none" w:sz="0" w:space="16" w:color="000000"/>
        </w:pBdr>
        <w:spacing w:before="120" w:line="264" w:lineRule="auto"/>
        <w:ind w:firstLine="720"/>
        <w:jc w:val="both"/>
        <w:rPr>
          <w:b/>
          <w:szCs w:val="28"/>
          <w:lang w:val="en"/>
        </w:rPr>
      </w:pPr>
      <w:r w:rsidRPr="00176E4A">
        <w:rPr>
          <w:b/>
          <w:szCs w:val="28"/>
          <w:lang w:val="en"/>
        </w:rPr>
        <w:t xml:space="preserve">IV. </w:t>
      </w:r>
      <w:r w:rsidR="00B6438D">
        <w:rPr>
          <w:b/>
          <w:szCs w:val="28"/>
          <w:lang w:val="en"/>
        </w:rPr>
        <w:t>KIẾN NGHỊ</w:t>
      </w:r>
    </w:p>
    <w:p w14:paraId="28BDF17C" w14:textId="7C27F4D2" w:rsidR="0051261B" w:rsidRDefault="00B6438D" w:rsidP="00A87E53">
      <w:pPr>
        <w:pBdr>
          <w:bottom w:val="none" w:sz="0" w:space="16" w:color="000000"/>
        </w:pBdr>
        <w:spacing w:before="120" w:line="264" w:lineRule="auto"/>
        <w:ind w:firstLine="720"/>
        <w:jc w:val="both"/>
        <w:rPr>
          <w:bCs/>
          <w:szCs w:val="28"/>
          <w:lang w:val="en"/>
        </w:rPr>
      </w:pPr>
      <w:r>
        <w:rPr>
          <w:bCs/>
          <w:szCs w:val="28"/>
          <w:lang w:val="en"/>
        </w:rPr>
        <w:t xml:space="preserve">Trong quá trình triển khai thực hiện Kế hoạch đầu tư công năm 2026, </w:t>
      </w:r>
      <w:r w:rsidR="0051261B">
        <w:rPr>
          <w:bCs/>
          <w:szCs w:val="28"/>
          <w:lang w:val="en"/>
        </w:rPr>
        <w:t>Ban Kinh tế - Ngân sách HĐND tỉnh đề nghị UBND tỉnh quan tâm, chỉ đạo một số nội dung:</w:t>
      </w:r>
    </w:p>
    <w:p w14:paraId="171EC79D" w14:textId="08235ED6" w:rsidR="0051261B" w:rsidRPr="0051261B" w:rsidRDefault="0051261B" w:rsidP="00A87E53">
      <w:pPr>
        <w:pBdr>
          <w:bottom w:val="none" w:sz="0" w:space="16" w:color="000000"/>
        </w:pBdr>
        <w:spacing w:before="120" w:line="264" w:lineRule="auto"/>
        <w:ind w:firstLine="720"/>
        <w:jc w:val="both"/>
        <w:rPr>
          <w:bCs/>
          <w:szCs w:val="28"/>
          <w:lang w:val="en"/>
        </w:rPr>
      </w:pPr>
      <w:r>
        <w:rPr>
          <w:bCs/>
          <w:szCs w:val="28"/>
          <w:lang w:val="en"/>
        </w:rPr>
        <w:t xml:space="preserve">- Khẩn </w:t>
      </w:r>
      <w:r w:rsidR="00C51FAC">
        <w:rPr>
          <w:bCs/>
          <w:szCs w:val="28"/>
          <w:lang w:val="en"/>
        </w:rPr>
        <w:t>trương</w:t>
      </w:r>
      <w:r>
        <w:rPr>
          <w:bCs/>
          <w:szCs w:val="28"/>
          <w:lang w:val="en"/>
        </w:rPr>
        <w:t xml:space="preserve"> rà soát, trình HĐND t</w:t>
      </w:r>
      <w:r w:rsidR="00C51FAC">
        <w:rPr>
          <w:bCs/>
          <w:szCs w:val="28"/>
          <w:lang w:val="en"/>
        </w:rPr>
        <w:t>ỉnh thông qua Kế hoạch đầu tư công nguồn ngân sách nhà nước giai đoạn 2026-2030 để làm cơ sở bổ sung danh mục, mức vốn cho các dự án khởi công mới trong năm 2026 nhằm đảm bảo tiến độ thực hiện và giải ngân dự án theo quy định.</w:t>
      </w:r>
    </w:p>
    <w:p w14:paraId="10F71EFF" w14:textId="77777777" w:rsidR="00066372" w:rsidRDefault="00C51FAC" w:rsidP="00066372">
      <w:pPr>
        <w:pBdr>
          <w:bottom w:val="none" w:sz="0" w:space="16" w:color="000000"/>
        </w:pBdr>
        <w:spacing w:before="120" w:line="264" w:lineRule="auto"/>
        <w:ind w:firstLine="720"/>
        <w:jc w:val="both"/>
        <w:rPr>
          <w:szCs w:val="28"/>
        </w:rPr>
      </w:pPr>
      <w:r>
        <w:rPr>
          <w:bCs/>
          <w:szCs w:val="28"/>
          <w:lang w:val="en"/>
        </w:rPr>
        <w:t>- T</w:t>
      </w:r>
      <w:r w:rsidR="00B6438D">
        <w:rPr>
          <w:bCs/>
          <w:szCs w:val="28"/>
          <w:lang w:val="en"/>
        </w:rPr>
        <w:t xml:space="preserve">iếp tục rà soát, </w:t>
      </w:r>
      <w:r w:rsidR="0051261B">
        <w:rPr>
          <w:bCs/>
          <w:szCs w:val="28"/>
          <w:lang w:val="en"/>
        </w:rPr>
        <w:t xml:space="preserve">thực hiện đầy đủ các nội dung theo </w:t>
      </w:r>
      <w:r w:rsidR="0051261B">
        <w:rPr>
          <w:szCs w:val="28"/>
        </w:rPr>
        <w:t>ý kiến của Thường trực Tỉnh ủy, Ban Thường vụ tỉnh ủy, các Kết luận của Thường trực HĐND tỉnh; tiếp tục rà soát các dự án đã hoàn thành nhưng chưa bố trí đủ vốn để quyết toán (nếu có) để trình cấp thẩm quyền bố trí vốn thanh toán nợ.</w:t>
      </w:r>
    </w:p>
    <w:p w14:paraId="4D096FCA" w14:textId="77777777" w:rsidR="008E0B46" w:rsidRDefault="00066372" w:rsidP="008E0B46">
      <w:pPr>
        <w:pBdr>
          <w:bottom w:val="none" w:sz="0" w:space="16" w:color="000000"/>
        </w:pBdr>
        <w:spacing w:before="120" w:line="264" w:lineRule="auto"/>
        <w:ind w:firstLine="709"/>
        <w:jc w:val="both"/>
        <w:rPr>
          <w:bCs/>
          <w:i/>
          <w:iCs/>
          <w:szCs w:val="28"/>
        </w:rPr>
      </w:pPr>
      <w:r>
        <w:rPr>
          <w:bCs/>
          <w:szCs w:val="28"/>
        </w:rPr>
        <w:t xml:space="preserve">- </w:t>
      </w:r>
      <w:r w:rsidR="00BD18B8">
        <w:rPr>
          <w:bCs/>
          <w:szCs w:val="28"/>
        </w:rPr>
        <w:t xml:space="preserve">Đối với nguồn vốn 250 tỷ dự kiến bố trí cho Ngân hàng chính sách xã hội chi nhánh tỉnh </w:t>
      </w:r>
      <w:r w:rsidR="00BD18B8" w:rsidRPr="00A33444">
        <w:rPr>
          <w:bCs/>
          <w:szCs w:val="28"/>
        </w:rPr>
        <w:t xml:space="preserve">để ủy thác </w:t>
      </w:r>
      <w:r w:rsidR="00BD18B8">
        <w:rPr>
          <w:bCs/>
          <w:szCs w:val="28"/>
        </w:rPr>
        <w:t xml:space="preserve">cho vay: Cho đến trước khi trình bố trí vốn, UBND tỉnh chưa chỉ đạo các cơ quan liên quan thực hiện đầy đủ trình tự, thủ tục được quy định tại khoản 2 Điều 5 Nghị định số 85/2025 ngày 08/4/2025 của Chính phủ về </w:t>
      </w:r>
      <w:r w:rsidR="00BD18B8" w:rsidRPr="00DE762B">
        <w:rPr>
          <w:bCs/>
          <w:szCs w:val="28"/>
        </w:rPr>
        <w:t xml:space="preserve">quy định chi tiết thi hành một số điều của </w:t>
      </w:r>
      <w:r w:rsidR="00BD18B8">
        <w:rPr>
          <w:bCs/>
          <w:szCs w:val="28"/>
        </w:rPr>
        <w:t>L</w:t>
      </w:r>
      <w:r w:rsidR="00BD18B8" w:rsidRPr="00DE762B">
        <w:rPr>
          <w:bCs/>
          <w:szCs w:val="28"/>
        </w:rPr>
        <w:t xml:space="preserve">uật </w:t>
      </w:r>
      <w:r w:rsidR="00BD18B8">
        <w:rPr>
          <w:bCs/>
          <w:szCs w:val="28"/>
        </w:rPr>
        <w:t>Đ</w:t>
      </w:r>
      <w:r w:rsidR="00BD18B8" w:rsidRPr="00DE762B">
        <w:rPr>
          <w:bCs/>
          <w:szCs w:val="28"/>
        </w:rPr>
        <w:t>ầu tư công</w:t>
      </w:r>
      <w:r w:rsidR="00BD18B8">
        <w:rPr>
          <w:rStyle w:val="FootnoteReference"/>
          <w:bCs/>
          <w:szCs w:val="28"/>
        </w:rPr>
        <w:footnoteReference w:id="5"/>
      </w:r>
      <w:r w:rsidR="00BD18B8">
        <w:rPr>
          <w:bCs/>
          <w:szCs w:val="28"/>
        </w:rPr>
        <w:t>. Do đó, đề nghị UBND tỉnh chỉ</w:t>
      </w:r>
      <w:r>
        <w:rPr>
          <w:bCs/>
          <w:szCs w:val="28"/>
        </w:rPr>
        <w:t xml:space="preserve"> đạo các cơ quan liên quan </w:t>
      </w:r>
      <w:r w:rsidR="006E6AA6">
        <w:rPr>
          <w:bCs/>
          <w:szCs w:val="28"/>
        </w:rPr>
        <w:t>tham mưu UBND</w:t>
      </w:r>
      <w:r w:rsidR="006E6AA6" w:rsidRPr="006E6AA6">
        <w:rPr>
          <w:bCs/>
          <w:szCs w:val="28"/>
        </w:rPr>
        <w:t xml:space="preserve"> tỉnh trình </w:t>
      </w:r>
      <w:r w:rsidR="006E6AA6">
        <w:rPr>
          <w:bCs/>
          <w:szCs w:val="28"/>
        </w:rPr>
        <w:t>HĐND</w:t>
      </w:r>
      <w:r w:rsidR="006E6AA6" w:rsidRPr="006E6AA6">
        <w:rPr>
          <w:bCs/>
          <w:szCs w:val="28"/>
        </w:rPr>
        <w:t xml:space="preserve"> tỉnh </w:t>
      </w:r>
      <w:r w:rsidR="006E6AA6" w:rsidRPr="006E6AA6">
        <w:rPr>
          <w:bCs/>
          <w:i/>
          <w:iCs/>
          <w:szCs w:val="28"/>
        </w:rPr>
        <w:t>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r w:rsidR="006E6AA6">
        <w:rPr>
          <w:bCs/>
          <w:i/>
          <w:iCs/>
          <w:szCs w:val="28"/>
        </w:rPr>
        <w:t xml:space="preserve"> </w:t>
      </w:r>
      <w:r w:rsidR="00BD18B8" w:rsidRPr="00BD18B8">
        <w:rPr>
          <w:bCs/>
          <w:szCs w:val="28"/>
        </w:rPr>
        <w:t>trước khi phân bổ nguồn vốn này theo đúng quy định pháp luật</w:t>
      </w:r>
      <w:r w:rsidR="00BD18B8">
        <w:rPr>
          <w:bCs/>
          <w:i/>
          <w:iCs/>
          <w:szCs w:val="28"/>
        </w:rPr>
        <w:t>.</w:t>
      </w:r>
    </w:p>
    <w:p w14:paraId="2C4786B8" w14:textId="32C8664D" w:rsidR="00732A2E" w:rsidRDefault="00C51FAC" w:rsidP="008E0B46">
      <w:pPr>
        <w:pBdr>
          <w:bottom w:val="none" w:sz="0" w:space="16" w:color="000000"/>
        </w:pBdr>
        <w:spacing w:before="120" w:line="264" w:lineRule="auto"/>
        <w:ind w:firstLine="709"/>
        <w:jc w:val="both"/>
        <w:rPr>
          <w:szCs w:val="28"/>
        </w:rPr>
      </w:pPr>
      <w:r>
        <w:rPr>
          <w:szCs w:val="28"/>
        </w:rPr>
        <w:lastRenderedPageBreak/>
        <w:t xml:space="preserve">- </w:t>
      </w:r>
      <w:r w:rsidR="00C046C4">
        <w:rPr>
          <w:szCs w:val="28"/>
        </w:rPr>
        <w:t>Đối với các dự án đã quá thời gian bố trí vốn thực hiện</w:t>
      </w:r>
      <w:r w:rsidR="00732A2E">
        <w:rPr>
          <w:szCs w:val="28"/>
        </w:rPr>
        <w:t>, chỉ đạo các sở, ngành liên quan rà soát, trình cấp thẩm quyền cho gia hạn thời gian bố trí vốn thực hiện theo quy định tại Điều 57 Luật Đầu tư công năm 2024.</w:t>
      </w:r>
    </w:p>
    <w:p w14:paraId="42C12083" w14:textId="1493CEF1" w:rsidR="007A1C98" w:rsidRPr="00176E4A" w:rsidRDefault="00B6438D" w:rsidP="00A87E53">
      <w:pPr>
        <w:pBdr>
          <w:bottom w:val="none" w:sz="0" w:space="16" w:color="000000"/>
        </w:pBdr>
        <w:spacing w:before="120" w:line="264" w:lineRule="auto"/>
        <w:ind w:firstLine="720"/>
        <w:jc w:val="both"/>
        <w:rPr>
          <w:b/>
          <w:szCs w:val="28"/>
          <w:lang w:val="en"/>
        </w:rPr>
      </w:pPr>
      <w:r>
        <w:rPr>
          <w:b/>
          <w:szCs w:val="28"/>
          <w:lang w:val="en"/>
        </w:rPr>
        <w:t xml:space="preserve">V. </w:t>
      </w:r>
      <w:r w:rsidR="007A1C98" w:rsidRPr="00176E4A">
        <w:rPr>
          <w:b/>
          <w:szCs w:val="28"/>
          <w:lang w:val="en"/>
        </w:rPr>
        <w:t>KẾT LUẬN</w:t>
      </w:r>
    </w:p>
    <w:p w14:paraId="06092BFE" w14:textId="77777777" w:rsidR="007A1C98" w:rsidRPr="00A87E53" w:rsidRDefault="007A1C98" w:rsidP="00A87E53">
      <w:pPr>
        <w:pBdr>
          <w:bottom w:val="none" w:sz="0" w:space="16" w:color="000000"/>
        </w:pBdr>
        <w:spacing w:before="120" w:line="264" w:lineRule="auto"/>
        <w:ind w:firstLine="720"/>
        <w:jc w:val="both"/>
        <w:rPr>
          <w:szCs w:val="28"/>
        </w:rPr>
      </w:pPr>
      <w:r w:rsidRPr="00A87E53">
        <w:rPr>
          <w:szCs w:val="28"/>
        </w:rPr>
        <w:t>Qua kết quả thẩm tra nêu trên, Ban Kinh tế - Ngân sách HĐND tỉnh nhận thấy:</w:t>
      </w:r>
    </w:p>
    <w:p w14:paraId="28E9600E" w14:textId="77777777" w:rsidR="007A1C98" w:rsidRPr="00176E4A" w:rsidRDefault="007A1C98" w:rsidP="00A87E53">
      <w:pPr>
        <w:pBdr>
          <w:bottom w:val="none" w:sz="0" w:space="16" w:color="000000"/>
        </w:pBdr>
        <w:spacing w:before="120" w:line="264" w:lineRule="auto"/>
        <w:ind w:firstLine="720"/>
        <w:jc w:val="both"/>
        <w:rPr>
          <w:lang w:val="nb-NO"/>
        </w:rPr>
      </w:pPr>
      <w:r w:rsidRPr="00176E4A">
        <w:rPr>
          <w:b/>
          <w:bCs/>
          <w:lang w:val="nb-NO"/>
        </w:rPr>
        <w:t>1.</w:t>
      </w:r>
      <w:r w:rsidRPr="00176E4A">
        <w:rPr>
          <w:lang w:val="nb-NO"/>
        </w:rPr>
        <w:t xml:space="preserve"> Dự thảo Nghị quyết đảm bảo về thẩm quyền ban hành. </w:t>
      </w:r>
    </w:p>
    <w:p w14:paraId="1C16B615" w14:textId="46E052A4" w:rsidR="007A1C98" w:rsidRPr="00176E4A" w:rsidRDefault="007A1C98" w:rsidP="00A87E53">
      <w:pPr>
        <w:pBdr>
          <w:bottom w:val="none" w:sz="0" w:space="16" w:color="000000"/>
        </w:pBdr>
        <w:spacing w:before="120" w:line="264" w:lineRule="auto"/>
        <w:ind w:firstLine="720"/>
        <w:jc w:val="both"/>
        <w:rPr>
          <w:szCs w:val="28"/>
        </w:rPr>
      </w:pPr>
      <w:r w:rsidRPr="00176E4A">
        <w:rPr>
          <w:b/>
          <w:bCs/>
        </w:rPr>
        <w:t>2.</w:t>
      </w:r>
      <w:r w:rsidRPr="00176E4A">
        <w:t xml:space="preserve"> Về nội dung dự thảo Nghị quyết: </w:t>
      </w:r>
      <w:r w:rsidR="00DA3491">
        <w:rPr>
          <w:szCs w:val="28"/>
        </w:rPr>
        <w:t>N</w:t>
      </w:r>
      <w:r w:rsidRPr="00176E4A">
        <w:rPr>
          <w:szCs w:val="28"/>
        </w:rPr>
        <w:t xml:space="preserve">ghị quyết phù hợp với quy định pháp luật, phù hợp </w:t>
      </w:r>
      <w:r w:rsidRPr="00176E4A">
        <w:rPr>
          <w:bCs/>
          <w:szCs w:val="28"/>
        </w:rPr>
        <w:t>Nghị quyết về nhiệm vụ phát triển kinh tế - xã hội 05 năm giai đoạn 2026-2030</w:t>
      </w:r>
      <w:r>
        <w:rPr>
          <w:bCs/>
          <w:szCs w:val="28"/>
        </w:rPr>
        <w:t xml:space="preserve">; Nghị quyết về </w:t>
      </w:r>
      <w:r w:rsidRPr="007A1C98">
        <w:rPr>
          <w:bCs/>
          <w:szCs w:val="28"/>
        </w:rPr>
        <w:t>kế hoạch tài chính 05 năm giai đoạn 2026-2030 tỉnh Lâm Đồng</w:t>
      </w:r>
      <w:r w:rsidRPr="00176E4A">
        <w:rPr>
          <w:bCs/>
          <w:szCs w:val="28"/>
        </w:rPr>
        <w:t xml:space="preserve"> </w:t>
      </w:r>
      <w:r w:rsidRPr="00176E4A">
        <w:rPr>
          <w:szCs w:val="28"/>
        </w:rPr>
        <w:t>và điều kiện thực tế địa phương.</w:t>
      </w:r>
    </w:p>
    <w:p w14:paraId="2E53F190" w14:textId="77777777" w:rsidR="007A1C98" w:rsidRPr="00176E4A" w:rsidRDefault="007A1C98" w:rsidP="00A87E53">
      <w:pPr>
        <w:pBdr>
          <w:bottom w:val="none" w:sz="0" w:space="16" w:color="000000"/>
        </w:pBdr>
        <w:spacing w:before="120" w:line="264" w:lineRule="auto"/>
        <w:ind w:firstLine="720"/>
        <w:jc w:val="both"/>
      </w:pPr>
      <w:r w:rsidRPr="00176E4A">
        <w:rPr>
          <w:b/>
          <w:bCs/>
        </w:rPr>
        <w:t>3.</w:t>
      </w:r>
      <w:r w:rsidRPr="00176E4A">
        <w:t xml:space="preserve"> Về thể thức, kỹ thuật trình bày dự thảo Nghị quyết, Ban Kinh tế - Ngân sách sẽ phối hợp với Văn phòng Đoàn ĐBQH và HĐND tỉnh tiếp tục rà soát và tiếp thu ý kiến thảo luận của đại biểu HĐND tỉnh tham dự Kỳ họp (nếu có) để hoàn chỉnh trước khi ban hành. </w:t>
      </w:r>
    </w:p>
    <w:p w14:paraId="18630933" w14:textId="68563334" w:rsidR="002F1D61" w:rsidRPr="00210295" w:rsidRDefault="007A1C98" w:rsidP="00A87E53">
      <w:pPr>
        <w:pBdr>
          <w:bottom w:val="none" w:sz="0" w:space="16" w:color="000000"/>
        </w:pBdr>
        <w:spacing w:before="120" w:line="264" w:lineRule="auto"/>
        <w:ind w:firstLine="720"/>
        <w:jc w:val="both"/>
        <w:rPr>
          <w:szCs w:val="28"/>
        </w:rPr>
      </w:pPr>
      <w:r w:rsidRPr="00176E4A">
        <w:rPr>
          <w:szCs w:val="28"/>
        </w:rPr>
        <w:t xml:space="preserve">Ban Kinh tế - Ngân sách HĐND tỉnh thống nhất trình HĐND tỉnh Khóa X, Kỳ họp thứ </w:t>
      </w:r>
      <w:r>
        <w:rPr>
          <w:szCs w:val="28"/>
        </w:rPr>
        <w:t>8 (kỳ họp chuyên đề)</w:t>
      </w:r>
      <w:r w:rsidRPr="00176E4A">
        <w:rPr>
          <w:szCs w:val="28"/>
        </w:rPr>
        <w:t xml:space="preserve"> xem xét thông qua dự thảo Nghị quyết</w:t>
      </w:r>
      <w:r w:rsidR="00E20333" w:rsidRPr="00210295">
        <w:rPr>
          <w:szCs w:val="28"/>
        </w:rPr>
        <w:t>./.</w:t>
      </w:r>
    </w:p>
    <w:tbl>
      <w:tblPr>
        <w:tblW w:w="9248" w:type="dxa"/>
        <w:tblInd w:w="-34" w:type="dxa"/>
        <w:tblLayout w:type="fixed"/>
        <w:tblLook w:val="04A0" w:firstRow="1" w:lastRow="0" w:firstColumn="1" w:lastColumn="0" w:noHBand="0" w:noVBand="1"/>
      </w:tblPr>
      <w:tblGrid>
        <w:gridCol w:w="4429"/>
        <w:gridCol w:w="4819"/>
      </w:tblGrid>
      <w:tr w:rsidR="00176E4A" w:rsidRPr="00210295" w14:paraId="0442D1BD" w14:textId="77777777" w:rsidTr="00ED6355">
        <w:trPr>
          <w:trHeight w:val="2205"/>
        </w:trPr>
        <w:tc>
          <w:tcPr>
            <w:tcW w:w="4429" w:type="dxa"/>
            <w:shd w:val="clear" w:color="auto" w:fill="FFFFFF"/>
            <w:hideMark/>
          </w:tcPr>
          <w:p w14:paraId="64F35BC5" w14:textId="7FB6A6BB" w:rsidR="00D75CAA" w:rsidRPr="00210295" w:rsidRDefault="00D75CAA">
            <w:pPr>
              <w:autoSpaceDE w:val="0"/>
              <w:autoSpaceDN w:val="0"/>
              <w:adjustRightInd w:val="0"/>
              <w:rPr>
                <w:i/>
                <w:iCs/>
                <w:sz w:val="24"/>
                <w:lang w:val="vi-VN"/>
              </w:rPr>
            </w:pPr>
            <w:r w:rsidRPr="00210295">
              <w:rPr>
                <w:b/>
                <w:bCs/>
                <w:i/>
                <w:iCs/>
                <w:sz w:val="24"/>
                <w:lang w:val="nb-NO"/>
              </w:rPr>
              <w:t>N</w:t>
            </w:r>
            <w:r w:rsidRPr="00210295">
              <w:rPr>
                <w:b/>
                <w:bCs/>
                <w:i/>
                <w:iCs/>
                <w:sz w:val="24"/>
                <w:lang w:val="vi-VN"/>
              </w:rPr>
              <w:t>ơi nhận</w:t>
            </w:r>
            <w:r w:rsidRPr="00210295">
              <w:rPr>
                <w:i/>
                <w:iCs/>
                <w:sz w:val="24"/>
                <w:lang w:val="vi-VN"/>
              </w:rPr>
              <w:t>:</w:t>
            </w:r>
          </w:p>
          <w:p w14:paraId="671475AC" w14:textId="4DAA6B7F" w:rsidR="00D75CAA" w:rsidRPr="00210295" w:rsidRDefault="00881F30">
            <w:pPr>
              <w:autoSpaceDE w:val="0"/>
              <w:autoSpaceDN w:val="0"/>
              <w:adjustRightInd w:val="0"/>
              <w:rPr>
                <w:sz w:val="22"/>
                <w:lang w:val="vi-VN"/>
              </w:rPr>
            </w:pPr>
            <w:r w:rsidRPr="00210295">
              <w:rPr>
                <w:sz w:val="22"/>
                <w:lang w:val="nb-NO"/>
              </w:rPr>
              <w:t xml:space="preserve">- Thường trực </w:t>
            </w:r>
            <w:r w:rsidR="00D75CAA" w:rsidRPr="00210295">
              <w:rPr>
                <w:sz w:val="22"/>
                <w:lang w:val="vi-VN"/>
              </w:rPr>
              <w:t>HĐND tỉnh</w:t>
            </w:r>
            <w:r w:rsidR="00756334">
              <w:rPr>
                <w:sz w:val="22"/>
              </w:rPr>
              <w:t xml:space="preserve"> (báo cáo)</w:t>
            </w:r>
            <w:r w:rsidR="00D75CAA" w:rsidRPr="00210295">
              <w:rPr>
                <w:sz w:val="22"/>
                <w:lang w:val="vi-VN"/>
              </w:rPr>
              <w:t xml:space="preserve">; </w:t>
            </w:r>
          </w:p>
          <w:p w14:paraId="16F330E9" w14:textId="77777777" w:rsidR="00D75CAA" w:rsidRPr="00210295" w:rsidRDefault="00D75CAA">
            <w:pPr>
              <w:autoSpaceDE w:val="0"/>
              <w:autoSpaceDN w:val="0"/>
              <w:adjustRightInd w:val="0"/>
              <w:rPr>
                <w:sz w:val="22"/>
                <w:lang w:val="vi-VN"/>
              </w:rPr>
            </w:pPr>
            <w:r w:rsidRPr="00210295">
              <w:rPr>
                <w:sz w:val="22"/>
                <w:lang w:val="vi-VN"/>
              </w:rPr>
              <w:t>- UBND tỉnh;</w:t>
            </w:r>
          </w:p>
          <w:p w14:paraId="0AA823EE" w14:textId="56C67CE1" w:rsidR="00D75CAA" w:rsidRPr="00210295" w:rsidRDefault="00D75CAA">
            <w:pPr>
              <w:autoSpaceDE w:val="0"/>
              <w:autoSpaceDN w:val="0"/>
              <w:adjustRightInd w:val="0"/>
              <w:rPr>
                <w:sz w:val="22"/>
                <w:lang w:val="vi-VN"/>
              </w:rPr>
            </w:pPr>
            <w:r w:rsidRPr="00210295">
              <w:rPr>
                <w:sz w:val="22"/>
                <w:lang w:val="vi-VN"/>
              </w:rPr>
              <w:t xml:space="preserve">- </w:t>
            </w:r>
            <w:r w:rsidR="004446B3">
              <w:rPr>
                <w:sz w:val="22"/>
              </w:rPr>
              <w:t>Sở Tài chính</w:t>
            </w:r>
            <w:r w:rsidRPr="00210295">
              <w:rPr>
                <w:sz w:val="22"/>
                <w:lang w:val="vi-VN"/>
              </w:rPr>
              <w:t>;</w:t>
            </w:r>
          </w:p>
          <w:p w14:paraId="445FE466" w14:textId="77777777" w:rsidR="00D75CAA" w:rsidRPr="00210295" w:rsidRDefault="00D75CAA">
            <w:pPr>
              <w:autoSpaceDE w:val="0"/>
              <w:autoSpaceDN w:val="0"/>
              <w:adjustRightInd w:val="0"/>
              <w:rPr>
                <w:sz w:val="22"/>
                <w:lang w:val="vi-VN"/>
              </w:rPr>
            </w:pPr>
            <w:r w:rsidRPr="00210295">
              <w:rPr>
                <w:sz w:val="22"/>
                <w:lang w:val="vi-VN"/>
              </w:rPr>
              <w:t>- Các Ban của HĐND tỉnh;</w:t>
            </w:r>
          </w:p>
          <w:p w14:paraId="356B1F63" w14:textId="77777777" w:rsidR="00D75CAA" w:rsidRPr="00210295" w:rsidRDefault="00D75CAA">
            <w:pPr>
              <w:autoSpaceDE w:val="0"/>
              <w:autoSpaceDN w:val="0"/>
              <w:adjustRightInd w:val="0"/>
              <w:rPr>
                <w:sz w:val="22"/>
                <w:lang w:val="en"/>
              </w:rPr>
            </w:pPr>
            <w:r w:rsidRPr="00210295">
              <w:rPr>
                <w:sz w:val="22"/>
                <w:lang w:val="en"/>
              </w:rPr>
              <w:t>- Thành viên Ban KT-NS;</w:t>
            </w:r>
          </w:p>
          <w:p w14:paraId="699FD97A" w14:textId="50E61B58" w:rsidR="00D75CAA" w:rsidRPr="00210295" w:rsidRDefault="00D75CAA">
            <w:pPr>
              <w:autoSpaceDE w:val="0"/>
              <w:autoSpaceDN w:val="0"/>
              <w:adjustRightInd w:val="0"/>
              <w:rPr>
                <w:sz w:val="22"/>
                <w:lang w:val="en"/>
              </w:rPr>
            </w:pPr>
            <w:r w:rsidRPr="00210295">
              <w:rPr>
                <w:sz w:val="22"/>
                <w:lang w:val="en"/>
              </w:rPr>
              <w:t>- L</w:t>
            </w:r>
            <w:r w:rsidR="0005287E" w:rsidRPr="00210295">
              <w:rPr>
                <w:sz w:val="22"/>
                <w:lang w:val="en"/>
              </w:rPr>
              <w:t xml:space="preserve">ãnh đạo </w:t>
            </w:r>
            <w:r w:rsidR="00F00EC1" w:rsidRPr="00210295">
              <w:rPr>
                <w:sz w:val="22"/>
                <w:lang w:val="en"/>
              </w:rPr>
              <w:t>VP</w:t>
            </w:r>
            <w:r w:rsidR="0005287E" w:rsidRPr="00210295">
              <w:rPr>
                <w:sz w:val="22"/>
                <w:lang w:val="en"/>
              </w:rPr>
              <w:t xml:space="preserve"> Đoàn ĐBQH và HĐND tỉnh</w:t>
            </w:r>
            <w:r w:rsidRPr="00210295">
              <w:rPr>
                <w:sz w:val="22"/>
                <w:lang w:val="en"/>
              </w:rPr>
              <w:t>;</w:t>
            </w:r>
          </w:p>
          <w:p w14:paraId="34670639" w14:textId="40FF2F75" w:rsidR="00D75CAA" w:rsidRPr="00210295" w:rsidRDefault="00D75CAA">
            <w:pPr>
              <w:autoSpaceDE w:val="0"/>
              <w:autoSpaceDN w:val="0"/>
              <w:adjustRightInd w:val="0"/>
              <w:rPr>
                <w:sz w:val="22"/>
                <w:lang w:val="en"/>
              </w:rPr>
            </w:pPr>
            <w:r w:rsidRPr="00210295">
              <w:rPr>
                <w:sz w:val="22"/>
                <w:lang w:val="en"/>
              </w:rPr>
              <w:t>- L</w:t>
            </w:r>
            <w:r w:rsidRPr="00210295">
              <w:rPr>
                <w:sz w:val="22"/>
                <w:lang w:val="vi-VN"/>
              </w:rPr>
              <w:t>ưu: VT,</w:t>
            </w:r>
            <w:r w:rsidR="003223D7">
              <w:rPr>
                <w:sz w:val="22"/>
              </w:rPr>
              <w:t xml:space="preserve"> PhCTHĐ</w:t>
            </w:r>
            <w:r w:rsidR="00F04504" w:rsidRPr="00210295">
              <w:rPr>
                <w:sz w:val="22"/>
                <w:vertAlign w:val="subscript"/>
              </w:rPr>
              <w:t>(Nhân)</w:t>
            </w:r>
            <w:r w:rsidRPr="00210295">
              <w:rPr>
                <w:sz w:val="22"/>
              </w:rPr>
              <w:t>.</w:t>
            </w:r>
          </w:p>
        </w:tc>
        <w:tc>
          <w:tcPr>
            <w:tcW w:w="4819" w:type="dxa"/>
            <w:shd w:val="clear" w:color="auto" w:fill="FFFFFF"/>
          </w:tcPr>
          <w:p w14:paraId="6F667792" w14:textId="77777777" w:rsidR="00D75CAA" w:rsidRPr="00210295" w:rsidRDefault="00D75CAA">
            <w:pPr>
              <w:autoSpaceDE w:val="0"/>
              <w:autoSpaceDN w:val="0"/>
              <w:adjustRightInd w:val="0"/>
              <w:jc w:val="center"/>
              <w:rPr>
                <w:b/>
                <w:bCs/>
                <w:szCs w:val="28"/>
                <w:lang w:val="en"/>
              </w:rPr>
            </w:pPr>
            <w:r w:rsidRPr="00210295">
              <w:rPr>
                <w:b/>
                <w:bCs/>
                <w:szCs w:val="28"/>
                <w:lang w:val="en"/>
              </w:rPr>
              <w:t>TM. BAN KINH TẾ</w:t>
            </w:r>
            <w:r w:rsidRPr="00210295">
              <w:rPr>
                <w:szCs w:val="28"/>
                <w:lang w:val="en"/>
              </w:rPr>
              <w:t xml:space="preserve"> -</w:t>
            </w:r>
            <w:r w:rsidRPr="00210295">
              <w:rPr>
                <w:b/>
                <w:bCs/>
                <w:szCs w:val="28"/>
                <w:lang w:val="en"/>
              </w:rPr>
              <w:t xml:space="preserve"> NGÂN SÁCH</w:t>
            </w:r>
          </w:p>
          <w:p w14:paraId="49060517" w14:textId="77777777" w:rsidR="00D75CAA" w:rsidRPr="00210295" w:rsidRDefault="00D75CAA">
            <w:pPr>
              <w:autoSpaceDE w:val="0"/>
              <w:autoSpaceDN w:val="0"/>
              <w:adjustRightInd w:val="0"/>
              <w:jc w:val="center"/>
              <w:rPr>
                <w:b/>
                <w:bCs/>
                <w:szCs w:val="28"/>
              </w:rPr>
            </w:pPr>
            <w:r w:rsidRPr="00210295">
              <w:rPr>
                <w:b/>
                <w:bCs/>
                <w:szCs w:val="28"/>
                <w:lang w:val="en"/>
              </w:rPr>
              <w:t>TR</w:t>
            </w:r>
            <w:r w:rsidRPr="00210295">
              <w:rPr>
                <w:b/>
                <w:bCs/>
                <w:szCs w:val="28"/>
                <w:lang w:val="vi-VN"/>
              </w:rPr>
              <w:t>ƯỞNG BAN</w:t>
            </w:r>
          </w:p>
          <w:p w14:paraId="0EB88F0E" w14:textId="77777777" w:rsidR="00D75CAA" w:rsidRDefault="00D75CAA">
            <w:pPr>
              <w:autoSpaceDE w:val="0"/>
              <w:autoSpaceDN w:val="0"/>
              <w:adjustRightInd w:val="0"/>
              <w:jc w:val="center"/>
              <w:rPr>
                <w:sz w:val="16"/>
                <w:szCs w:val="16"/>
                <w:lang w:val="en"/>
              </w:rPr>
            </w:pPr>
          </w:p>
          <w:p w14:paraId="1374965C" w14:textId="77777777" w:rsidR="008B6CCE" w:rsidRDefault="008B6CCE">
            <w:pPr>
              <w:autoSpaceDE w:val="0"/>
              <w:autoSpaceDN w:val="0"/>
              <w:adjustRightInd w:val="0"/>
              <w:jc w:val="center"/>
              <w:rPr>
                <w:sz w:val="16"/>
                <w:szCs w:val="16"/>
                <w:lang w:val="en"/>
              </w:rPr>
            </w:pPr>
          </w:p>
          <w:p w14:paraId="3DC0B4B7" w14:textId="77777777" w:rsidR="008B6CCE" w:rsidRPr="008B6CCE" w:rsidRDefault="008B6CCE">
            <w:pPr>
              <w:autoSpaceDE w:val="0"/>
              <w:autoSpaceDN w:val="0"/>
              <w:adjustRightInd w:val="0"/>
              <w:jc w:val="center"/>
              <w:rPr>
                <w:sz w:val="16"/>
                <w:szCs w:val="16"/>
                <w:lang w:val="en"/>
              </w:rPr>
            </w:pPr>
          </w:p>
          <w:p w14:paraId="16044651" w14:textId="77777777" w:rsidR="00796D50" w:rsidRDefault="00796D50">
            <w:pPr>
              <w:autoSpaceDE w:val="0"/>
              <w:autoSpaceDN w:val="0"/>
              <w:adjustRightInd w:val="0"/>
              <w:jc w:val="center"/>
              <w:rPr>
                <w:szCs w:val="28"/>
                <w:lang w:val="en"/>
              </w:rPr>
            </w:pPr>
          </w:p>
          <w:p w14:paraId="2F3D8C8C" w14:textId="77777777" w:rsidR="00972D55" w:rsidRPr="00210295" w:rsidRDefault="00972D55">
            <w:pPr>
              <w:autoSpaceDE w:val="0"/>
              <w:autoSpaceDN w:val="0"/>
              <w:adjustRightInd w:val="0"/>
              <w:jc w:val="center"/>
              <w:rPr>
                <w:szCs w:val="28"/>
                <w:lang w:val="en"/>
              </w:rPr>
            </w:pPr>
          </w:p>
          <w:p w14:paraId="5954C062" w14:textId="77777777" w:rsidR="00D75CAA" w:rsidRPr="00210295" w:rsidRDefault="00D75CAA">
            <w:pPr>
              <w:autoSpaceDE w:val="0"/>
              <w:autoSpaceDN w:val="0"/>
              <w:adjustRightInd w:val="0"/>
              <w:jc w:val="center"/>
              <w:rPr>
                <w:szCs w:val="28"/>
                <w:lang w:val="en"/>
              </w:rPr>
            </w:pPr>
          </w:p>
          <w:p w14:paraId="23656790" w14:textId="6C01353C" w:rsidR="00D75CAA" w:rsidRPr="00210295" w:rsidRDefault="00723E28">
            <w:pPr>
              <w:autoSpaceDE w:val="0"/>
              <w:autoSpaceDN w:val="0"/>
              <w:adjustRightInd w:val="0"/>
              <w:jc w:val="center"/>
              <w:rPr>
                <w:b/>
                <w:szCs w:val="28"/>
                <w:lang w:val="en"/>
              </w:rPr>
            </w:pPr>
            <w:r w:rsidRPr="00210295">
              <w:rPr>
                <w:b/>
                <w:bCs/>
                <w:szCs w:val="28"/>
                <w:lang w:val="en"/>
              </w:rPr>
              <w:t>Phạm Thị Tường Vân</w:t>
            </w:r>
          </w:p>
        </w:tc>
      </w:tr>
    </w:tbl>
    <w:p w14:paraId="6A70D27E" w14:textId="0548149A" w:rsidR="00110E58" w:rsidRPr="00210295" w:rsidRDefault="00110E58" w:rsidP="00A52F44"/>
    <w:sectPr w:rsidR="00110E58" w:rsidRPr="00210295" w:rsidSect="00D26DFF">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54B7" w14:textId="77777777" w:rsidR="005B40FD" w:rsidRDefault="005B40FD" w:rsidP="00431AD5">
      <w:r>
        <w:separator/>
      </w:r>
    </w:p>
  </w:endnote>
  <w:endnote w:type="continuationSeparator" w:id="0">
    <w:p w14:paraId="0005499F" w14:textId="77777777" w:rsidR="005B40FD" w:rsidRDefault="005B40FD" w:rsidP="0043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5C6D" w14:textId="77777777" w:rsidR="0076646E" w:rsidRDefault="007664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125D" w14:textId="77777777" w:rsidR="005B40FD" w:rsidRDefault="005B40FD" w:rsidP="00431AD5">
      <w:r>
        <w:separator/>
      </w:r>
    </w:p>
  </w:footnote>
  <w:footnote w:type="continuationSeparator" w:id="0">
    <w:p w14:paraId="3AF95DCB" w14:textId="77777777" w:rsidR="005B40FD" w:rsidRDefault="005B40FD" w:rsidP="00431AD5">
      <w:r>
        <w:continuationSeparator/>
      </w:r>
    </w:p>
  </w:footnote>
  <w:footnote w:id="1">
    <w:p w14:paraId="6BF8FEB8" w14:textId="77777777" w:rsidR="00090792" w:rsidRPr="007876F3" w:rsidRDefault="00090792" w:rsidP="00090792">
      <w:pPr>
        <w:pStyle w:val="FootnoteText"/>
        <w:jc w:val="both"/>
        <w:rPr>
          <w:rFonts w:ascii="Times New Roman" w:hAnsi="Times New Roman" w:cs="Times New Roman"/>
          <w:i/>
          <w:sz w:val="20"/>
          <w:szCs w:val="20"/>
        </w:rPr>
      </w:pPr>
      <w:r w:rsidRPr="007876F3">
        <w:rPr>
          <w:rStyle w:val="FootnoteReference"/>
          <w:rFonts w:ascii="Times New Roman" w:hAnsi="Times New Roman" w:cs="Times New Roman"/>
          <w:sz w:val="20"/>
          <w:szCs w:val="20"/>
        </w:rPr>
        <w:footnoteRef/>
      </w:r>
      <w:r w:rsidRPr="007876F3">
        <w:rPr>
          <w:rFonts w:ascii="Times New Roman" w:hAnsi="Times New Roman" w:cs="Times New Roman"/>
          <w:sz w:val="20"/>
          <w:szCs w:val="20"/>
        </w:rPr>
        <w:t xml:space="preserve"> </w:t>
      </w:r>
      <w:r w:rsidRPr="007876F3">
        <w:rPr>
          <w:rFonts w:ascii="Times New Roman" w:hAnsi="Times New Roman" w:cs="Times New Roman"/>
          <w:i/>
          <w:sz w:val="20"/>
          <w:szCs w:val="20"/>
        </w:rPr>
        <w:t>1. Đại diện Thường trực HĐND tỉnh và đại diện Lãnh đạo các Ban HĐND tỉnh.</w:t>
      </w:r>
    </w:p>
    <w:p w14:paraId="4A50B767" w14:textId="77777777" w:rsidR="00090792" w:rsidRPr="00283FDD" w:rsidRDefault="00090792" w:rsidP="00090792">
      <w:pPr>
        <w:pStyle w:val="FootnoteText"/>
        <w:jc w:val="both"/>
        <w:rPr>
          <w:rFonts w:ascii="Times New Roman" w:hAnsi="Times New Roman" w:cs="Times New Roman"/>
          <w:i/>
          <w:sz w:val="20"/>
          <w:szCs w:val="20"/>
        </w:rPr>
      </w:pPr>
      <w:r w:rsidRPr="00283FDD">
        <w:rPr>
          <w:rFonts w:ascii="Times New Roman" w:hAnsi="Times New Roman" w:cs="Times New Roman"/>
          <w:i/>
          <w:sz w:val="20"/>
          <w:szCs w:val="20"/>
        </w:rPr>
        <w:t>2. Lãnh đạo và các ủy viên Ban Kinh tế - Ngân sách.</w:t>
      </w:r>
    </w:p>
    <w:p w14:paraId="1598CD40" w14:textId="45C25662" w:rsidR="00090792" w:rsidRPr="00283FDD" w:rsidRDefault="00090792" w:rsidP="00090792">
      <w:pPr>
        <w:pStyle w:val="FootnoteText"/>
        <w:jc w:val="both"/>
        <w:rPr>
          <w:rFonts w:ascii="Times New Roman" w:hAnsi="Times New Roman" w:cs="Times New Roman"/>
          <w:i/>
          <w:sz w:val="20"/>
          <w:szCs w:val="20"/>
        </w:rPr>
      </w:pPr>
      <w:r w:rsidRPr="00283FDD">
        <w:rPr>
          <w:rFonts w:ascii="Times New Roman" w:hAnsi="Times New Roman" w:cs="Times New Roman"/>
          <w:i/>
          <w:sz w:val="20"/>
          <w:szCs w:val="20"/>
        </w:rPr>
        <w:t>3. Lãnh đạo Sở Tài chính</w:t>
      </w:r>
      <w:r>
        <w:rPr>
          <w:rFonts w:ascii="Times New Roman" w:hAnsi="Times New Roman" w:cs="Times New Roman"/>
          <w:i/>
          <w:sz w:val="20"/>
          <w:szCs w:val="20"/>
        </w:rPr>
        <w:t>.</w:t>
      </w:r>
    </w:p>
    <w:p w14:paraId="2206DA22" w14:textId="77777777" w:rsidR="00090792" w:rsidRPr="00283FDD" w:rsidRDefault="00090792" w:rsidP="00090792">
      <w:pPr>
        <w:pStyle w:val="FootnoteText"/>
        <w:jc w:val="both"/>
        <w:rPr>
          <w:rFonts w:ascii="Times New Roman" w:hAnsi="Times New Roman" w:cs="Times New Roman"/>
          <w:i/>
          <w:sz w:val="20"/>
          <w:szCs w:val="20"/>
        </w:rPr>
      </w:pPr>
      <w:r w:rsidRPr="00283FDD">
        <w:rPr>
          <w:rFonts w:ascii="Times New Roman" w:hAnsi="Times New Roman" w:cs="Times New Roman"/>
          <w:i/>
          <w:sz w:val="20"/>
          <w:szCs w:val="20"/>
        </w:rPr>
        <w:t>4. Lãnh đạo Văn phòng Đoàn ĐBQH và HĐND tỉnh.</w:t>
      </w:r>
    </w:p>
    <w:p w14:paraId="7BEB0192" w14:textId="77777777" w:rsidR="00090792" w:rsidRPr="007876F3" w:rsidRDefault="00090792" w:rsidP="00090792">
      <w:pPr>
        <w:pStyle w:val="FootnoteText"/>
        <w:jc w:val="both"/>
        <w:rPr>
          <w:rFonts w:ascii="Times New Roman" w:hAnsi="Times New Roman" w:cs="Times New Roman"/>
          <w:i/>
          <w:sz w:val="20"/>
          <w:szCs w:val="20"/>
        </w:rPr>
      </w:pPr>
      <w:r w:rsidRPr="007876F3">
        <w:rPr>
          <w:rFonts w:ascii="Times New Roman" w:hAnsi="Times New Roman" w:cs="Times New Roman"/>
          <w:i/>
          <w:sz w:val="20"/>
          <w:szCs w:val="20"/>
        </w:rPr>
        <w:t>6. Lãnh đạo và chuyên viên Phòng Công tác HĐND thuộc Văn phòng Đoàn ĐBQH và HĐND tỉnh.</w:t>
      </w:r>
    </w:p>
  </w:footnote>
  <w:footnote w:id="2">
    <w:p w14:paraId="01A8393A" w14:textId="1D687931" w:rsidR="00090792" w:rsidRPr="00FE248A" w:rsidRDefault="00090792" w:rsidP="00090792">
      <w:pPr>
        <w:pStyle w:val="FootnoteText"/>
        <w:jc w:val="both"/>
        <w:rPr>
          <w:rFonts w:ascii="Times New Roman" w:hAnsi="Times New Roman" w:cs="Times New Roman"/>
          <w:i/>
          <w:iCs/>
          <w:sz w:val="20"/>
          <w:szCs w:val="20"/>
        </w:rPr>
      </w:pPr>
      <w:r w:rsidRPr="007876F3">
        <w:rPr>
          <w:rStyle w:val="FootnoteReference"/>
          <w:rFonts w:ascii="Times New Roman" w:hAnsi="Times New Roman" w:cs="Times New Roman"/>
          <w:sz w:val="20"/>
          <w:szCs w:val="20"/>
        </w:rPr>
        <w:footnoteRef/>
      </w:r>
      <w:r w:rsidRPr="007876F3">
        <w:rPr>
          <w:rFonts w:ascii="Times New Roman" w:hAnsi="Times New Roman" w:cs="Times New Roman"/>
          <w:sz w:val="20"/>
          <w:szCs w:val="20"/>
        </w:rPr>
        <w:t xml:space="preserve"> </w:t>
      </w:r>
      <w:r w:rsidRPr="00FE248A">
        <w:rPr>
          <w:rFonts w:ascii="Times New Roman" w:hAnsi="Times New Roman" w:cs="Times New Roman"/>
          <w:i/>
          <w:iCs/>
          <w:sz w:val="20"/>
          <w:szCs w:val="20"/>
        </w:rPr>
        <w:t xml:space="preserve">1. </w:t>
      </w:r>
      <w:r>
        <w:rPr>
          <w:rFonts w:ascii="Times New Roman" w:hAnsi="Times New Roman" w:cs="Times New Roman"/>
          <w:i/>
          <w:iCs/>
          <w:sz w:val="20"/>
          <w:szCs w:val="20"/>
          <w:lang w:val="vi-VN"/>
        </w:rPr>
        <w:t xml:space="preserve">Báo cáo số </w:t>
      </w:r>
      <w:r w:rsidR="008D446A">
        <w:rPr>
          <w:rFonts w:ascii="Times New Roman" w:hAnsi="Times New Roman" w:cs="Times New Roman"/>
          <w:i/>
          <w:iCs/>
          <w:sz w:val="20"/>
          <w:szCs w:val="20"/>
        </w:rPr>
        <w:t>349</w:t>
      </w:r>
      <w:r>
        <w:rPr>
          <w:rFonts w:ascii="Times New Roman" w:hAnsi="Times New Roman" w:cs="Times New Roman"/>
          <w:i/>
          <w:iCs/>
          <w:sz w:val="20"/>
          <w:szCs w:val="20"/>
          <w:lang w:val="vi-VN"/>
        </w:rPr>
        <w:t xml:space="preserve">/BC-UBND ngày </w:t>
      </w:r>
      <w:r>
        <w:rPr>
          <w:rFonts w:ascii="Times New Roman" w:hAnsi="Times New Roman" w:cs="Times New Roman"/>
          <w:i/>
          <w:iCs/>
          <w:sz w:val="20"/>
          <w:szCs w:val="20"/>
        </w:rPr>
        <w:t>2</w:t>
      </w:r>
      <w:r w:rsidR="008D446A">
        <w:rPr>
          <w:rFonts w:ascii="Times New Roman" w:hAnsi="Times New Roman" w:cs="Times New Roman"/>
          <w:i/>
          <w:iCs/>
          <w:sz w:val="20"/>
          <w:szCs w:val="20"/>
        </w:rPr>
        <w:t>8</w:t>
      </w:r>
      <w:r>
        <w:rPr>
          <w:rFonts w:ascii="Times New Roman" w:hAnsi="Times New Roman" w:cs="Times New Roman"/>
          <w:i/>
          <w:iCs/>
          <w:sz w:val="20"/>
          <w:szCs w:val="20"/>
        </w:rPr>
        <w:t>/12</w:t>
      </w:r>
      <w:r>
        <w:rPr>
          <w:rFonts w:ascii="Times New Roman" w:hAnsi="Times New Roman" w:cs="Times New Roman"/>
          <w:i/>
          <w:iCs/>
          <w:sz w:val="20"/>
          <w:szCs w:val="20"/>
          <w:lang w:val="vi-VN"/>
        </w:rPr>
        <w:t xml:space="preserve">/2025 </w:t>
      </w:r>
      <w:r w:rsidRPr="00FE248A">
        <w:rPr>
          <w:rFonts w:ascii="Times New Roman" w:hAnsi="Times New Roman" w:cs="Times New Roman"/>
          <w:i/>
          <w:iCs/>
          <w:sz w:val="20"/>
          <w:szCs w:val="20"/>
        </w:rPr>
        <w:t xml:space="preserve">của UBND tỉnh </w:t>
      </w:r>
      <w:r>
        <w:rPr>
          <w:rFonts w:ascii="Times New Roman" w:hAnsi="Times New Roman" w:cs="Times New Roman"/>
          <w:i/>
          <w:iCs/>
          <w:sz w:val="20"/>
          <w:szCs w:val="20"/>
        </w:rPr>
        <w:t>k</w:t>
      </w:r>
      <w:r w:rsidRPr="00FE248A">
        <w:rPr>
          <w:rFonts w:ascii="Times New Roman" w:hAnsi="Times New Roman" w:cs="Times New Roman"/>
          <w:i/>
          <w:iCs/>
          <w:sz w:val="20"/>
          <w:szCs w:val="20"/>
        </w:rPr>
        <w:t>èm theo dự thảo Nghị quyết.</w:t>
      </w:r>
    </w:p>
    <w:p w14:paraId="2DA80ADD" w14:textId="77777777" w:rsidR="00090792" w:rsidRPr="00283FDD" w:rsidRDefault="00090792" w:rsidP="00090792">
      <w:pPr>
        <w:pStyle w:val="FootnoteText"/>
        <w:jc w:val="both"/>
        <w:rPr>
          <w:rFonts w:ascii="Times New Roman" w:hAnsi="Times New Roman" w:cs="Times New Roman"/>
          <w:i/>
          <w:iCs/>
          <w:sz w:val="20"/>
          <w:szCs w:val="20"/>
        </w:rPr>
      </w:pPr>
      <w:r w:rsidRPr="00FE248A">
        <w:rPr>
          <w:rFonts w:ascii="Times New Roman" w:hAnsi="Times New Roman" w:cs="Times New Roman"/>
          <w:i/>
          <w:iCs/>
          <w:sz w:val="20"/>
          <w:szCs w:val="20"/>
        </w:rPr>
        <w:t>2. Các tài liệu liên quan khác.</w:t>
      </w:r>
    </w:p>
  </w:footnote>
  <w:footnote w:id="3">
    <w:p w14:paraId="0FDF5587" w14:textId="05F49B3F" w:rsidR="00CD5993" w:rsidRPr="00737AB5" w:rsidRDefault="00CD5993" w:rsidP="00737AB5">
      <w:pPr>
        <w:pStyle w:val="FootnoteText"/>
        <w:jc w:val="both"/>
        <w:rPr>
          <w:rFonts w:ascii="Times New Roman" w:hAnsi="Times New Roman" w:cs="Times New Roman"/>
          <w:sz w:val="20"/>
          <w:szCs w:val="20"/>
        </w:rPr>
      </w:pPr>
      <w:r w:rsidRPr="00737AB5">
        <w:rPr>
          <w:rStyle w:val="FootnoteReference"/>
          <w:rFonts w:ascii="Times New Roman" w:hAnsi="Times New Roman" w:cs="Times New Roman"/>
          <w:sz w:val="20"/>
          <w:szCs w:val="20"/>
        </w:rPr>
        <w:footnoteRef/>
      </w:r>
      <w:r w:rsidRPr="00737AB5">
        <w:rPr>
          <w:rFonts w:ascii="Times New Roman" w:hAnsi="Times New Roman" w:cs="Times New Roman"/>
          <w:sz w:val="20"/>
          <w:szCs w:val="20"/>
        </w:rPr>
        <w:t xml:space="preserve"> </w:t>
      </w:r>
      <w:r w:rsidR="00737AB5">
        <w:rPr>
          <w:rFonts w:ascii="Times New Roman" w:hAnsi="Times New Roman" w:cs="Times New Roman"/>
          <w:sz w:val="20"/>
          <w:szCs w:val="20"/>
        </w:rPr>
        <w:t>M</w:t>
      </w:r>
      <w:r w:rsidR="00737AB5" w:rsidRPr="00737AB5">
        <w:rPr>
          <w:rFonts w:ascii="Times New Roman" w:hAnsi="Times New Roman" w:cs="Times New Roman"/>
          <w:sz w:val="20"/>
          <w:szCs w:val="20"/>
        </w:rPr>
        <w:t xml:space="preserve">ức vốn </w:t>
      </w:r>
      <w:r w:rsidR="00D93D83">
        <w:rPr>
          <w:rFonts w:ascii="Times New Roman" w:hAnsi="Times New Roman" w:cs="Times New Roman"/>
          <w:sz w:val="20"/>
          <w:szCs w:val="20"/>
        </w:rPr>
        <w:t xml:space="preserve">giao tăng </w:t>
      </w:r>
      <w:r w:rsidR="00D93D83" w:rsidRPr="00D93D83">
        <w:rPr>
          <w:rFonts w:ascii="Times New Roman" w:hAnsi="Times New Roman" w:cs="Times New Roman"/>
          <w:sz w:val="20"/>
          <w:szCs w:val="20"/>
        </w:rPr>
        <w:t xml:space="preserve">980.100 triệu đồng so với kế hoạch vốn </w:t>
      </w:r>
      <w:r w:rsidR="00737AB5" w:rsidRPr="00737AB5">
        <w:rPr>
          <w:rFonts w:ascii="Times New Roman" w:hAnsi="Times New Roman" w:cs="Times New Roman"/>
          <w:sz w:val="20"/>
          <w:szCs w:val="20"/>
        </w:rPr>
        <w:t>được Thủ tướng Chính phủ giao tại Quyết định số 2661/QĐ-TTg ngày 05/12/2025, Quyết định số 2691/QĐ-TTg ngày 10/12/2025 và khả năng cân đối của ngân sách địa phương, tổng kế hoạch vốn đầu tư phát triển của tỉnh Lâm Đồng</w:t>
      </w:r>
      <w:r w:rsidR="00D93D83">
        <w:rPr>
          <w:rFonts w:ascii="Times New Roman" w:hAnsi="Times New Roman" w:cs="Times New Roman"/>
          <w:sz w:val="20"/>
          <w:szCs w:val="20"/>
        </w:rPr>
        <w:t xml:space="preserve"> là 14.241.455 triệu đồng</w:t>
      </w:r>
      <w:r w:rsidRPr="00737AB5">
        <w:rPr>
          <w:rFonts w:ascii="Times New Roman" w:hAnsi="Times New Roman" w:cs="Times New Roman"/>
          <w:sz w:val="20"/>
          <w:szCs w:val="20"/>
        </w:rPr>
        <w:t>.</w:t>
      </w:r>
    </w:p>
  </w:footnote>
  <w:footnote w:id="4">
    <w:p w14:paraId="1ABD7616" w14:textId="01E50BD2" w:rsidR="00CB6209" w:rsidRPr="00CB6209" w:rsidRDefault="00CB6209" w:rsidP="00CB6209">
      <w:pPr>
        <w:pStyle w:val="FootnoteText"/>
        <w:jc w:val="both"/>
        <w:rPr>
          <w:rFonts w:ascii="Times New Roman" w:hAnsi="Times New Roman" w:cs="Times New Roman"/>
          <w:sz w:val="20"/>
          <w:szCs w:val="20"/>
        </w:rPr>
      </w:pPr>
      <w:r w:rsidRPr="00CB6209">
        <w:rPr>
          <w:rStyle w:val="FootnoteReference"/>
          <w:rFonts w:ascii="Times New Roman" w:hAnsi="Times New Roman" w:cs="Times New Roman"/>
          <w:sz w:val="20"/>
          <w:szCs w:val="20"/>
        </w:rPr>
        <w:footnoteRef/>
      </w:r>
      <w:r w:rsidRPr="00CB6209">
        <w:rPr>
          <w:rFonts w:ascii="Times New Roman" w:hAnsi="Times New Roman" w:cs="Times New Roman"/>
          <w:sz w:val="20"/>
          <w:szCs w:val="20"/>
        </w:rPr>
        <w:t xml:space="preserve"> </w:t>
      </w:r>
      <w:r>
        <w:rPr>
          <w:rFonts w:ascii="Times New Roman" w:hAnsi="Times New Roman" w:cs="Times New Roman"/>
          <w:sz w:val="20"/>
          <w:szCs w:val="20"/>
        </w:rPr>
        <w:t xml:space="preserve">Thông báo số 169/TB-TTHĐND ngày 06/12/2025 về </w:t>
      </w:r>
      <w:r w:rsidRPr="00CB6209">
        <w:rPr>
          <w:rFonts w:ascii="Times New Roman" w:hAnsi="Times New Roman" w:cs="Times New Roman"/>
          <w:sz w:val="20"/>
          <w:szCs w:val="20"/>
        </w:rPr>
        <w:t>Kết luận Phiên họp thứ 53 của Thường trực HĐND tỉnh</w:t>
      </w:r>
      <w:r>
        <w:rPr>
          <w:rFonts w:ascii="Times New Roman" w:hAnsi="Times New Roman" w:cs="Times New Roman"/>
          <w:sz w:val="20"/>
          <w:szCs w:val="20"/>
        </w:rPr>
        <w:t xml:space="preserve">;  Thông báo số 175/TB-TTHĐND ngày 26/12/2025 về </w:t>
      </w:r>
      <w:r w:rsidRPr="00CB6209">
        <w:rPr>
          <w:rFonts w:ascii="Times New Roman" w:hAnsi="Times New Roman" w:cs="Times New Roman"/>
          <w:sz w:val="20"/>
          <w:szCs w:val="20"/>
        </w:rPr>
        <w:t>Kết luận Phiên họp thứ 5</w:t>
      </w:r>
      <w:r>
        <w:rPr>
          <w:rFonts w:ascii="Times New Roman" w:hAnsi="Times New Roman" w:cs="Times New Roman"/>
          <w:sz w:val="20"/>
          <w:szCs w:val="20"/>
        </w:rPr>
        <w:t>5</w:t>
      </w:r>
      <w:r w:rsidRPr="00CB6209">
        <w:rPr>
          <w:rFonts w:ascii="Times New Roman" w:hAnsi="Times New Roman" w:cs="Times New Roman"/>
          <w:sz w:val="20"/>
          <w:szCs w:val="20"/>
        </w:rPr>
        <w:t xml:space="preserve"> của Thường trực HĐND tỉnh</w:t>
      </w:r>
      <w:r>
        <w:rPr>
          <w:rFonts w:ascii="Times New Roman" w:hAnsi="Times New Roman" w:cs="Times New Roman"/>
          <w:sz w:val="20"/>
          <w:szCs w:val="20"/>
        </w:rPr>
        <w:t>.</w:t>
      </w:r>
    </w:p>
  </w:footnote>
  <w:footnote w:id="5">
    <w:p w14:paraId="41A985E9" w14:textId="77777777" w:rsidR="00BD18B8" w:rsidRPr="00DE762B" w:rsidRDefault="00BD18B8" w:rsidP="00BD18B8">
      <w:pPr>
        <w:pStyle w:val="FootnoteText"/>
        <w:jc w:val="both"/>
        <w:rPr>
          <w:rFonts w:ascii="Times New Roman" w:hAnsi="Times New Roman" w:cs="Times New Roman"/>
          <w:i/>
          <w:iCs/>
          <w:sz w:val="20"/>
          <w:szCs w:val="20"/>
        </w:rPr>
      </w:pPr>
      <w:r>
        <w:rPr>
          <w:rStyle w:val="FootnoteReference"/>
        </w:rPr>
        <w:footnoteRef/>
      </w:r>
      <w:r>
        <w:t xml:space="preserve"> </w:t>
      </w:r>
      <w:r>
        <w:rPr>
          <w:rFonts w:ascii="Times New Roman" w:hAnsi="Times New Roman" w:cs="Times New Roman"/>
          <w:sz w:val="20"/>
          <w:szCs w:val="20"/>
        </w:rPr>
        <w:t xml:space="preserve">Khoản 2 Điều 5: </w:t>
      </w:r>
      <w:r w:rsidRPr="00DE762B">
        <w:rPr>
          <w:rFonts w:ascii="Times New Roman" w:hAnsi="Times New Roman" w:cs="Times New Roman"/>
          <w:i/>
          <w:iCs/>
          <w:sz w:val="20"/>
          <w:szCs w:val="20"/>
        </w:rPr>
        <w:t>“2. Trên cơ sở báo cáo dự kiến kế hoạch đầu tư công trung hạn và hằng năm của Ngân hàng Chính sách xã hội chi nhánh tỉnh, thành phố trực thuộc trung ương, 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71A6" w14:textId="66065BF6" w:rsidR="0076646E" w:rsidRPr="00104D3C" w:rsidRDefault="00C36DC6">
    <w:pPr>
      <w:pStyle w:val="Header"/>
      <w:jc w:val="center"/>
      <w:rPr>
        <w:sz w:val="26"/>
      </w:rPr>
    </w:pPr>
    <w:r w:rsidRPr="00104D3C">
      <w:rPr>
        <w:sz w:val="26"/>
      </w:rPr>
      <w:fldChar w:fldCharType="begin"/>
    </w:r>
    <w:r w:rsidRPr="00104D3C">
      <w:rPr>
        <w:sz w:val="26"/>
      </w:rPr>
      <w:instrText xml:space="preserve"> PAGE   \* MERGEFORMAT </w:instrText>
    </w:r>
    <w:r w:rsidRPr="00104D3C">
      <w:rPr>
        <w:sz w:val="26"/>
      </w:rPr>
      <w:fldChar w:fldCharType="separate"/>
    </w:r>
    <w:r w:rsidR="002C43A6">
      <w:rPr>
        <w:noProof/>
        <w:sz w:val="26"/>
      </w:rPr>
      <w:t>4</w:t>
    </w:r>
    <w:r w:rsidRPr="00104D3C">
      <w:rPr>
        <w:noProof/>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837"/>
    <w:multiLevelType w:val="hybridMultilevel"/>
    <w:tmpl w:val="5C3E3C96"/>
    <w:lvl w:ilvl="0" w:tplc="FE3602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E72D8"/>
    <w:multiLevelType w:val="hybridMultilevel"/>
    <w:tmpl w:val="F42AA3E6"/>
    <w:lvl w:ilvl="0" w:tplc="EE82818A">
      <w:start w:val="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3A04AE1"/>
    <w:multiLevelType w:val="hybridMultilevel"/>
    <w:tmpl w:val="06680D5C"/>
    <w:lvl w:ilvl="0" w:tplc="AB88277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F121E8"/>
    <w:multiLevelType w:val="hybridMultilevel"/>
    <w:tmpl w:val="CC267CE0"/>
    <w:lvl w:ilvl="0" w:tplc="766E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9363474">
    <w:abstractNumId w:val="0"/>
  </w:num>
  <w:num w:numId="2" w16cid:durableId="1350642212">
    <w:abstractNumId w:val="3"/>
  </w:num>
  <w:num w:numId="3" w16cid:durableId="1151798029">
    <w:abstractNumId w:val="2"/>
  </w:num>
  <w:num w:numId="4" w16cid:durableId="104464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AA"/>
    <w:rsid w:val="00001DB4"/>
    <w:rsid w:val="000057BF"/>
    <w:rsid w:val="00007304"/>
    <w:rsid w:val="000324A4"/>
    <w:rsid w:val="0003268F"/>
    <w:rsid w:val="00042015"/>
    <w:rsid w:val="00047C71"/>
    <w:rsid w:val="0005287E"/>
    <w:rsid w:val="00057328"/>
    <w:rsid w:val="00061CF9"/>
    <w:rsid w:val="000624B6"/>
    <w:rsid w:val="00065897"/>
    <w:rsid w:val="00066372"/>
    <w:rsid w:val="00072C75"/>
    <w:rsid w:val="0008346A"/>
    <w:rsid w:val="00090792"/>
    <w:rsid w:val="00092017"/>
    <w:rsid w:val="0009731D"/>
    <w:rsid w:val="0009761A"/>
    <w:rsid w:val="000B6169"/>
    <w:rsid w:val="000E15CD"/>
    <w:rsid w:val="000E79C7"/>
    <w:rsid w:val="000F0B19"/>
    <w:rsid w:val="000F1359"/>
    <w:rsid w:val="000F4F29"/>
    <w:rsid w:val="00102959"/>
    <w:rsid w:val="00110E58"/>
    <w:rsid w:val="00114A7F"/>
    <w:rsid w:val="00134B66"/>
    <w:rsid w:val="00143892"/>
    <w:rsid w:val="0014404E"/>
    <w:rsid w:val="00154A65"/>
    <w:rsid w:val="0015783A"/>
    <w:rsid w:val="00160727"/>
    <w:rsid w:val="00163238"/>
    <w:rsid w:val="00176E4A"/>
    <w:rsid w:val="001816C1"/>
    <w:rsid w:val="001A5816"/>
    <w:rsid w:val="001C10B0"/>
    <w:rsid w:val="001D7BD8"/>
    <w:rsid w:val="001E5A5C"/>
    <w:rsid w:val="001E6566"/>
    <w:rsid w:val="00205BE3"/>
    <w:rsid w:val="00210295"/>
    <w:rsid w:val="002206E1"/>
    <w:rsid w:val="002238AD"/>
    <w:rsid w:val="002257AE"/>
    <w:rsid w:val="00227E64"/>
    <w:rsid w:val="002359AD"/>
    <w:rsid w:val="00235DFE"/>
    <w:rsid w:val="00236F1B"/>
    <w:rsid w:val="0024151C"/>
    <w:rsid w:val="0024384D"/>
    <w:rsid w:val="0026165A"/>
    <w:rsid w:val="0027086E"/>
    <w:rsid w:val="002731C1"/>
    <w:rsid w:val="00273BBA"/>
    <w:rsid w:val="00282A9F"/>
    <w:rsid w:val="00291957"/>
    <w:rsid w:val="002C43A6"/>
    <w:rsid w:val="002C5998"/>
    <w:rsid w:val="002D441F"/>
    <w:rsid w:val="002D7850"/>
    <w:rsid w:val="002F1D61"/>
    <w:rsid w:val="00314959"/>
    <w:rsid w:val="00315BBC"/>
    <w:rsid w:val="003174E3"/>
    <w:rsid w:val="003223D7"/>
    <w:rsid w:val="00323F80"/>
    <w:rsid w:val="003301A4"/>
    <w:rsid w:val="0033134E"/>
    <w:rsid w:val="003321A7"/>
    <w:rsid w:val="00354A27"/>
    <w:rsid w:val="0035622E"/>
    <w:rsid w:val="0036369A"/>
    <w:rsid w:val="003759A2"/>
    <w:rsid w:val="00384D94"/>
    <w:rsid w:val="003910EA"/>
    <w:rsid w:val="00396E69"/>
    <w:rsid w:val="003A4AD4"/>
    <w:rsid w:val="003A7304"/>
    <w:rsid w:val="003B7790"/>
    <w:rsid w:val="003C2758"/>
    <w:rsid w:val="003E0197"/>
    <w:rsid w:val="003E1BFE"/>
    <w:rsid w:val="003F1121"/>
    <w:rsid w:val="003F49C7"/>
    <w:rsid w:val="003F7DA6"/>
    <w:rsid w:val="004113C0"/>
    <w:rsid w:val="00411772"/>
    <w:rsid w:val="004145C2"/>
    <w:rsid w:val="0041744B"/>
    <w:rsid w:val="0042307C"/>
    <w:rsid w:val="00431AD5"/>
    <w:rsid w:val="00431C63"/>
    <w:rsid w:val="00440226"/>
    <w:rsid w:val="00442E9A"/>
    <w:rsid w:val="00442E9C"/>
    <w:rsid w:val="004446B3"/>
    <w:rsid w:val="00444CD6"/>
    <w:rsid w:val="00445358"/>
    <w:rsid w:val="004473C7"/>
    <w:rsid w:val="004672F3"/>
    <w:rsid w:val="00467A02"/>
    <w:rsid w:val="00467FD0"/>
    <w:rsid w:val="00476491"/>
    <w:rsid w:val="00477F01"/>
    <w:rsid w:val="004854B8"/>
    <w:rsid w:val="0048752E"/>
    <w:rsid w:val="00490B1A"/>
    <w:rsid w:val="00497151"/>
    <w:rsid w:val="004A2A46"/>
    <w:rsid w:val="004A3655"/>
    <w:rsid w:val="004A6F20"/>
    <w:rsid w:val="004B09D6"/>
    <w:rsid w:val="004C3B9D"/>
    <w:rsid w:val="004C7A2F"/>
    <w:rsid w:val="004D5AE2"/>
    <w:rsid w:val="004E0C49"/>
    <w:rsid w:val="004F4DD5"/>
    <w:rsid w:val="00502021"/>
    <w:rsid w:val="00505372"/>
    <w:rsid w:val="005067BD"/>
    <w:rsid w:val="0051261B"/>
    <w:rsid w:val="00515B04"/>
    <w:rsid w:val="005277F3"/>
    <w:rsid w:val="00561A39"/>
    <w:rsid w:val="00562CAC"/>
    <w:rsid w:val="00570F99"/>
    <w:rsid w:val="005727F3"/>
    <w:rsid w:val="00572B29"/>
    <w:rsid w:val="00573E00"/>
    <w:rsid w:val="00576900"/>
    <w:rsid w:val="005777CD"/>
    <w:rsid w:val="00584393"/>
    <w:rsid w:val="005A320C"/>
    <w:rsid w:val="005B2A21"/>
    <w:rsid w:val="005B40FD"/>
    <w:rsid w:val="005C0FCD"/>
    <w:rsid w:val="005C3F5E"/>
    <w:rsid w:val="005C66EB"/>
    <w:rsid w:val="005E0961"/>
    <w:rsid w:val="005E0ABE"/>
    <w:rsid w:val="005E1840"/>
    <w:rsid w:val="005E1F98"/>
    <w:rsid w:val="005F3BD1"/>
    <w:rsid w:val="005F44F8"/>
    <w:rsid w:val="00601EE7"/>
    <w:rsid w:val="00605E12"/>
    <w:rsid w:val="00616347"/>
    <w:rsid w:val="0063437E"/>
    <w:rsid w:val="006420B9"/>
    <w:rsid w:val="00643E63"/>
    <w:rsid w:val="00656706"/>
    <w:rsid w:val="006603E6"/>
    <w:rsid w:val="00664B0D"/>
    <w:rsid w:val="006738CF"/>
    <w:rsid w:val="00675C46"/>
    <w:rsid w:val="00676D8C"/>
    <w:rsid w:val="00684789"/>
    <w:rsid w:val="00686652"/>
    <w:rsid w:val="006A2186"/>
    <w:rsid w:val="006B506A"/>
    <w:rsid w:val="006C38FC"/>
    <w:rsid w:val="006E577C"/>
    <w:rsid w:val="006E6AA6"/>
    <w:rsid w:val="006F074B"/>
    <w:rsid w:val="006F213E"/>
    <w:rsid w:val="006F727C"/>
    <w:rsid w:val="00710BAD"/>
    <w:rsid w:val="007112B7"/>
    <w:rsid w:val="007118D3"/>
    <w:rsid w:val="007213B3"/>
    <w:rsid w:val="007239BC"/>
    <w:rsid w:val="00723E28"/>
    <w:rsid w:val="00726D4B"/>
    <w:rsid w:val="00730769"/>
    <w:rsid w:val="00732A2E"/>
    <w:rsid w:val="0073466C"/>
    <w:rsid w:val="007347CD"/>
    <w:rsid w:val="00735734"/>
    <w:rsid w:val="00737AB5"/>
    <w:rsid w:val="00754A50"/>
    <w:rsid w:val="00756334"/>
    <w:rsid w:val="0076646E"/>
    <w:rsid w:val="007706A4"/>
    <w:rsid w:val="00770B12"/>
    <w:rsid w:val="007718F6"/>
    <w:rsid w:val="00775E17"/>
    <w:rsid w:val="00796D50"/>
    <w:rsid w:val="007A1C98"/>
    <w:rsid w:val="007A36E9"/>
    <w:rsid w:val="007A5A64"/>
    <w:rsid w:val="007B5E66"/>
    <w:rsid w:val="007B7B98"/>
    <w:rsid w:val="007B7D6E"/>
    <w:rsid w:val="007E45BE"/>
    <w:rsid w:val="007E71A7"/>
    <w:rsid w:val="007E7D11"/>
    <w:rsid w:val="007F51C1"/>
    <w:rsid w:val="00804B8D"/>
    <w:rsid w:val="008116E9"/>
    <w:rsid w:val="008164C3"/>
    <w:rsid w:val="00827B6A"/>
    <w:rsid w:val="00837144"/>
    <w:rsid w:val="00850261"/>
    <w:rsid w:val="00854B22"/>
    <w:rsid w:val="008566E7"/>
    <w:rsid w:val="00870DE2"/>
    <w:rsid w:val="00877471"/>
    <w:rsid w:val="0087788E"/>
    <w:rsid w:val="00881F30"/>
    <w:rsid w:val="008A2703"/>
    <w:rsid w:val="008A5DB1"/>
    <w:rsid w:val="008B227D"/>
    <w:rsid w:val="008B37B3"/>
    <w:rsid w:val="008B53FB"/>
    <w:rsid w:val="008B6CCE"/>
    <w:rsid w:val="008B7419"/>
    <w:rsid w:val="008C4217"/>
    <w:rsid w:val="008C5FB7"/>
    <w:rsid w:val="008D446A"/>
    <w:rsid w:val="008E0B46"/>
    <w:rsid w:val="008E12AC"/>
    <w:rsid w:val="008E20FD"/>
    <w:rsid w:val="008F7BAB"/>
    <w:rsid w:val="009075BD"/>
    <w:rsid w:val="009159AE"/>
    <w:rsid w:val="00925ACE"/>
    <w:rsid w:val="0094583D"/>
    <w:rsid w:val="00956B40"/>
    <w:rsid w:val="00956F8A"/>
    <w:rsid w:val="009575BC"/>
    <w:rsid w:val="00972D55"/>
    <w:rsid w:val="00983498"/>
    <w:rsid w:val="00986083"/>
    <w:rsid w:val="0099155B"/>
    <w:rsid w:val="009A6741"/>
    <w:rsid w:val="009B6B0A"/>
    <w:rsid w:val="009C1BD1"/>
    <w:rsid w:val="009C3343"/>
    <w:rsid w:val="009D17F6"/>
    <w:rsid w:val="009E03C8"/>
    <w:rsid w:val="009E191A"/>
    <w:rsid w:val="009F10DB"/>
    <w:rsid w:val="009F7E48"/>
    <w:rsid w:val="00A01A96"/>
    <w:rsid w:val="00A13B43"/>
    <w:rsid w:val="00A1480A"/>
    <w:rsid w:val="00A309A9"/>
    <w:rsid w:val="00A33444"/>
    <w:rsid w:val="00A44CB5"/>
    <w:rsid w:val="00A4658C"/>
    <w:rsid w:val="00A52F44"/>
    <w:rsid w:val="00A55FA6"/>
    <w:rsid w:val="00A73820"/>
    <w:rsid w:val="00A74EA6"/>
    <w:rsid w:val="00A75A61"/>
    <w:rsid w:val="00A87E53"/>
    <w:rsid w:val="00A97816"/>
    <w:rsid w:val="00AB26AB"/>
    <w:rsid w:val="00AB61F5"/>
    <w:rsid w:val="00AB625D"/>
    <w:rsid w:val="00AC7FAD"/>
    <w:rsid w:val="00AD4CFD"/>
    <w:rsid w:val="00AD7E18"/>
    <w:rsid w:val="00AE061A"/>
    <w:rsid w:val="00AE391A"/>
    <w:rsid w:val="00AE434C"/>
    <w:rsid w:val="00AF2F6F"/>
    <w:rsid w:val="00B003CC"/>
    <w:rsid w:val="00B071CB"/>
    <w:rsid w:val="00B14D30"/>
    <w:rsid w:val="00B210F6"/>
    <w:rsid w:val="00B25FDA"/>
    <w:rsid w:val="00B317CF"/>
    <w:rsid w:val="00B337F5"/>
    <w:rsid w:val="00B5283A"/>
    <w:rsid w:val="00B620E9"/>
    <w:rsid w:val="00B6438D"/>
    <w:rsid w:val="00B65509"/>
    <w:rsid w:val="00B677E2"/>
    <w:rsid w:val="00B906B3"/>
    <w:rsid w:val="00BA2F3F"/>
    <w:rsid w:val="00BB4886"/>
    <w:rsid w:val="00BD0177"/>
    <w:rsid w:val="00BD18B8"/>
    <w:rsid w:val="00BD4AEB"/>
    <w:rsid w:val="00BD6F70"/>
    <w:rsid w:val="00BE48B9"/>
    <w:rsid w:val="00BE6E71"/>
    <w:rsid w:val="00BF0F2E"/>
    <w:rsid w:val="00BF2916"/>
    <w:rsid w:val="00C028BF"/>
    <w:rsid w:val="00C04004"/>
    <w:rsid w:val="00C046C4"/>
    <w:rsid w:val="00C16F1A"/>
    <w:rsid w:val="00C21167"/>
    <w:rsid w:val="00C22775"/>
    <w:rsid w:val="00C24238"/>
    <w:rsid w:val="00C36DC6"/>
    <w:rsid w:val="00C5189B"/>
    <w:rsid w:val="00C51FAC"/>
    <w:rsid w:val="00C54C22"/>
    <w:rsid w:val="00C65CA0"/>
    <w:rsid w:val="00C77FB1"/>
    <w:rsid w:val="00C869BB"/>
    <w:rsid w:val="00C90011"/>
    <w:rsid w:val="00C91BFD"/>
    <w:rsid w:val="00C93109"/>
    <w:rsid w:val="00C9459B"/>
    <w:rsid w:val="00C96ADE"/>
    <w:rsid w:val="00CB0D7F"/>
    <w:rsid w:val="00CB3779"/>
    <w:rsid w:val="00CB6209"/>
    <w:rsid w:val="00CC3303"/>
    <w:rsid w:val="00CC4CC7"/>
    <w:rsid w:val="00CC66F1"/>
    <w:rsid w:val="00CD5993"/>
    <w:rsid w:val="00CF2BFC"/>
    <w:rsid w:val="00CF33BA"/>
    <w:rsid w:val="00CF399E"/>
    <w:rsid w:val="00D17E30"/>
    <w:rsid w:val="00D2407C"/>
    <w:rsid w:val="00D25096"/>
    <w:rsid w:val="00D269A6"/>
    <w:rsid w:val="00D26D42"/>
    <w:rsid w:val="00D26DFF"/>
    <w:rsid w:val="00D317F4"/>
    <w:rsid w:val="00D362BD"/>
    <w:rsid w:val="00D369E2"/>
    <w:rsid w:val="00D40BDA"/>
    <w:rsid w:val="00D738C0"/>
    <w:rsid w:val="00D75CAA"/>
    <w:rsid w:val="00D77FF2"/>
    <w:rsid w:val="00D86AB7"/>
    <w:rsid w:val="00D93D83"/>
    <w:rsid w:val="00D94FB9"/>
    <w:rsid w:val="00DA3491"/>
    <w:rsid w:val="00DA6B7B"/>
    <w:rsid w:val="00DB0F6C"/>
    <w:rsid w:val="00DB3521"/>
    <w:rsid w:val="00DB69A3"/>
    <w:rsid w:val="00DB7244"/>
    <w:rsid w:val="00DC61BD"/>
    <w:rsid w:val="00DD255A"/>
    <w:rsid w:val="00DD47B3"/>
    <w:rsid w:val="00DE762B"/>
    <w:rsid w:val="00DF584E"/>
    <w:rsid w:val="00E036E3"/>
    <w:rsid w:val="00E06131"/>
    <w:rsid w:val="00E06470"/>
    <w:rsid w:val="00E20333"/>
    <w:rsid w:val="00E24055"/>
    <w:rsid w:val="00E256BA"/>
    <w:rsid w:val="00E34D54"/>
    <w:rsid w:val="00E43EFB"/>
    <w:rsid w:val="00E46203"/>
    <w:rsid w:val="00E536B3"/>
    <w:rsid w:val="00E538F1"/>
    <w:rsid w:val="00E56698"/>
    <w:rsid w:val="00E60789"/>
    <w:rsid w:val="00E62B7B"/>
    <w:rsid w:val="00E65E8F"/>
    <w:rsid w:val="00E667F9"/>
    <w:rsid w:val="00E75B6D"/>
    <w:rsid w:val="00E86F26"/>
    <w:rsid w:val="00E9438B"/>
    <w:rsid w:val="00EA2234"/>
    <w:rsid w:val="00EB10E4"/>
    <w:rsid w:val="00EB33C0"/>
    <w:rsid w:val="00EC206F"/>
    <w:rsid w:val="00ED5884"/>
    <w:rsid w:val="00ED6355"/>
    <w:rsid w:val="00EF31C8"/>
    <w:rsid w:val="00F00EC1"/>
    <w:rsid w:val="00F04504"/>
    <w:rsid w:val="00F05E39"/>
    <w:rsid w:val="00F1312F"/>
    <w:rsid w:val="00F16AEF"/>
    <w:rsid w:val="00F17ED2"/>
    <w:rsid w:val="00F22681"/>
    <w:rsid w:val="00F248EA"/>
    <w:rsid w:val="00F60C00"/>
    <w:rsid w:val="00F62C8F"/>
    <w:rsid w:val="00F64179"/>
    <w:rsid w:val="00F70958"/>
    <w:rsid w:val="00F86FB0"/>
    <w:rsid w:val="00FA0D4C"/>
    <w:rsid w:val="00FA234B"/>
    <w:rsid w:val="00FC22D4"/>
    <w:rsid w:val="00FC44F5"/>
    <w:rsid w:val="00FC69A2"/>
    <w:rsid w:val="00FC7661"/>
    <w:rsid w:val="00FD0285"/>
    <w:rsid w:val="00FD0BFF"/>
    <w:rsid w:val="00FD179A"/>
    <w:rsid w:val="00FE059D"/>
    <w:rsid w:val="00FE248A"/>
    <w:rsid w:val="00FF0FAE"/>
    <w:rsid w:val="00FF14B5"/>
    <w:rsid w:val="00FF77B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F730"/>
  <w15:docId w15:val="{FB06AF4B-36F2-44DF-BBB2-0A7CD3EC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83"/>
    <w:rPr>
      <w:rFonts w:ascii="Times New Roman" w:eastAsia="Calibri" w:hAnsi="Times New Roman" w:cs="Times New Roman"/>
      <w:kern w:val="28"/>
      <w:sz w:val="28"/>
      <w:szCs w:val="26"/>
      <w14:ligatures w14:val="none"/>
    </w:rPr>
  </w:style>
  <w:style w:type="paragraph" w:styleId="Heading1">
    <w:name w:val="heading 1"/>
    <w:basedOn w:val="Normal"/>
    <w:next w:val="Normal"/>
    <w:link w:val="Heading1Char"/>
    <w:uiPriority w:val="9"/>
    <w:qFormat/>
    <w:rsid w:val="00D75C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5C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5CAA"/>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75CA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5CA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5CA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5CA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5CA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5CA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CAA"/>
    <w:rPr>
      <w:rFonts w:eastAsiaTheme="majorEastAsia" w:cstheme="majorBidi"/>
      <w:color w:val="272727" w:themeColor="text1" w:themeTint="D8"/>
    </w:rPr>
  </w:style>
  <w:style w:type="paragraph" w:styleId="Title">
    <w:name w:val="Title"/>
    <w:basedOn w:val="Normal"/>
    <w:next w:val="Normal"/>
    <w:link w:val="TitleChar"/>
    <w:uiPriority w:val="10"/>
    <w:qFormat/>
    <w:rsid w:val="00D75CAA"/>
    <w:pPr>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D7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CA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7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CA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5CAA"/>
    <w:rPr>
      <w:i/>
      <w:iCs/>
      <w:color w:val="404040" w:themeColor="text1" w:themeTint="BF"/>
    </w:rPr>
  </w:style>
  <w:style w:type="paragraph" w:styleId="ListParagraph">
    <w:name w:val="List Paragraph"/>
    <w:basedOn w:val="Normal"/>
    <w:uiPriority w:val="34"/>
    <w:qFormat/>
    <w:rsid w:val="00D75CA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75CAA"/>
    <w:rPr>
      <w:i/>
      <w:iCs/>
      <w:color w:val="0F4761" w:themeColor="accent1" w:themeShade="BF"/>
    </w:rPr>
  </w:style>
  <w:style w:type="paragraph" w:styleId="IntenseQuote">
    <w:name w:val="Intense Quote"/>
    <w:basedOn w:val="Normal"/>
    <w:next w:val="Normal"/>
    <w:link w:val="IntenseQuoteChar"/>
    <w:uiPriority w:val="30"/>
    <w:qFormat/>
    <w:rsid w:val="00D75C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5CAA"/>
    <w:rPr>
      <w:i/>
      <w:iCs/>
      <w:color w:val="0F4761" w:themeColor="accent1" w:themeShade="BF"/>
    </w:rPr>
  </w:style>
  <w:style w:type="character" w:styleId="IntenseReference">
    <w:name w:val="Intense Reference"/>
    <w:basedOn w:val="DefaultParagraphFont"/>
    <w:uiPriority w:val="32"/>
    <w:qFormat/>
    <w:rsid w:val="00D75CAA"/>
    <w:rPr>
      <w:b/>
      <w:bCs/>
      <w:smallCaps/>
      <w:color w:val="0F4761" w:themeColor="accent1" w:themeShade="BF"/>
      <w:spacing w:val="5"/>
    </w:rPr>
  </w:style>
  <w:style w:type="paragraph" w:styleId="Header">
    <w:name w:val="header"/>
    <w:basedOn w:val="Normal"/>
    <w:link w:val="HeaderChar"/>
    <w:uiPriority w:val="99"/>
    <w:unhideWhenUsed/>
    <w:rsid w:val="00D75CAA"/>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D75CAA"/>
    <w:rPr>
      <w:rFonts w:ascii="Times New Roman" w:eastAsia="Calibri" w:hAnsi="Times New Roman" w:cs="Times New Roman"/>
      <w:kern w:val="28"/>
      <w:sz w:val="20"/>
      <w:szCs w:val="26"/>
      <w:lang w:val="x-none" w:eastAsia="x-none"/>
      <w14:ligatures w14:val="none"/>
    </w:rPr>
  </w:style>
  <w:style w:type="paragraph" w:styleId="Footer">
    <w:name w:val="footer"/>
    <w:basedOn w:val="Normal"/>
    <w:link w:val="FooterChar"/>
    <w:uiPriority w:val="99"/>
    <w:unhideWhenUsed/>
    <w:rsid w:val="00D75CAA"/>
    <w:pPr>
      <w:tabs>
        <w:tab w:val="center" w:pos="4680"/>
        <w:tab w:val="right" w:pos="9360"/>
      </w:tabs>
    </w:pPr>
    <w:rPr>
      <w:sz w:val="20"/>
      <w:lang w:val="x-none" w:eastAsia="x-none"/>
    </w:rPr>
  </w:style>
  <w:style w:type="character" w:customStyle="1" w:styleId="FooterChar">
    <w:name w:val="Footer Char"/>
    <w:basedOn w:val="DefaultParagraphFont"/>
    <w:link w:val="Footer"/>
    <w:uiPriority w:val="99"/>
    <w:rsid w:val="00D75CAA"/>
    <w:rPr>
      <w:rFonts w:ascii="Times New Roman" w:eastAsia="Calibri" w:hAnsi="Times New Roman" w:cs="Times New Roman"/>
      <w:kern w:val="28"/>
      <w:sz w:val="20"/>
      <w:szCs w:val="26"/>
      <w:lang w:val="x-none" w:eastAsia="x-none"/>
      <w14:ligatures w14:val="none"/>
    </w:rPr>
  </w:style>
  <w:style w:type="character" w:styleId="Emphasis">
    <w:name w:val="Emphasis"/>
    <w:qFormat/>
    <w:rsid w:val="00D75CAA"/>
    <w:rPr>
      <w:i/>
      <w:iCs/>
    </w:rPr>
  </w:style>
  <w:style w:type="character" w:customStyle="1" w:styleId="fontstyle01">
    <w:name w:val="fontstyle01"/>
    <w:rsid w:val="00D75CAA"/>
    <w:rPr>
      <w:rFonts w:ascii="TimesNewRomanPSMT" w:hAnsi="TimesNewRomanPSMT" w:hint="default"/>
      <w:b w:val="0"/>
      <w:bCs w:val="0"/>
      <w:i w:val="0"/>
      <w:iCs w:val="0"/>
      <w:color w:val="000000"/>
      <w:sz w:val="28"/>
      <w:szCs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link w:val="FootnoteText"/>
    <w:uiPriority w:val="99"/>
    <w:qFormat/>
    <w:locked/>
    <w:rsid w:val="00431AD5"/>
    <w:rPr>
      <w:rFonts w:ascii=".VnTime" w:hAnsi=".VnTim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iPriority w:val="99"/>
    <w:qFormat/>
    <w:rsid w:val="00431AD5"/>
    <w:rPr>
      <w:rFonts w:ascii=".VnTime" w:eastAsiaTheme="minorHAnsi" w:hAnsi=".VnTime" w:cstheme="minorBidi"/>
      <w:kern w:val="2"/>
      <w:sz w:val="24"/>
      <w:szCs w:val="24"/>
      <w14:ligatures w14:val="standardContextual"/>
    </w:rPr>
  </w:style>
  <w:style w:type="character" w:customStyle="1" w:styleId="FootnoteTextChar1">
    <w:name w:val="Footnote Text Char1"/>
    <w:basedOn w:val="DefaultParagraphFont"/>
    <w:uiPriority w:val="99"/>
    <w:semiHidden/>
    <w:rsid w:val="00431AD5"/>
    <w:rPr>
      <w:rFonts w:ascii="Times New Roman" w:eastAsia="Calibri" w:hAnsi="Times New Roman" w:cs="Times New Roman"/>
      <w:kern w:val="28"/>
      <w:sz w:val="20"/>
      <w:szCs w:val="20"/>
      <w14:ligatures w14:val="none"/>
    </w:rPr>
  </w:style>
  <w:style w:type="character" w:styleId="FootnoteReference">
    <w:name w:val="footnote reference"/>
    <w:aliases w:val="Footnote Reference Char Char,Ref Char Char Char Char Char Char Char,de nota al pie Char Char Char Char Char Char Char,Footnote Char Char Char Char Char Char Char,Footnote text Char Char Char Char Char Char Char,Ref Char,Footnote Char"/>
    <w:link w:val="FootnoteReferenceChar"/>
    <w:uiPriority w:val="99"/>
    <w:qFormat/>
    <w:rsid w:val="00431AD5"/>
    <w:rPr>
      <w:vertAlign w:val="superscript"/>
    </w:rPr>
  </w:style>
  <w:style w:type="paragraph" w:customStyle="1" w:styleId="FootnoteReferenceChar">
    <w:name w:val="Footnote Reference Char"/>
    <w:aliases w:val="Ref Char Char Char Char Char Char,de nota al pie Char Char Char Char Char Char,Footnote Char Char Char Char Char Char,Footnote text Char Char Char Char Char Char,ftref Char Char Char Char Char Char,Ref Char Cha"/>
    <w:basedOn w:val="Normal"/>
    <w:next w:val="Normal"/>
    <w:link w:val="FootnoteReference"/>
    <w:uiPriority w:val="99"/>
    <w:rsid w:val="00431AD5"/>
    <w:pPr>
      <w:spacing w:after="160" w:line="240" w:lineRule="exact"/>
    </w:pPr>
    <w:rPr>
      <w:rFonts w:asciiTheme="minorHAnsi" w:eastAsiaTheme="minorHAnsi" w:hAnsiTheme="minorHAnsi" w:cstheme="minorBidi"/>
      <w:kern w:val="2"/>
      <w:sz w:val="24"/>
      <w:szCs w:val="24"/>
      <w:vertAlign w:val="superscript"/>
      <w14:ligatures w14:val="standardContextual"/>
    </w:rPr>
  </w:style>
  <w:style w:type="character" w:customStyle="1" w:styleId="f6s1c0l0w0r0">
    <w:name w:val="f6 s1 c0 l0 w0 r0"/>
    <w:basedOn w:val="DefaultParagraphFont"/>
    <w:rsid w:val="00FF7F2B"/>
  </w:style>
  <w:style w:type="paragraph" w:customStyle="1" w:styleId="CharCharCharCharChar">
    <w:name w:val="Char Char Char Char Char"/>
    <w:basedOn w:val="Normal"/>
    <w:rsid w:val="00EB10E4"/>
    <w:pPr>
      <w:spacing w:after="160" w:line="240" w:lineRule="exact"/>
    </w:pPr>
    <w:rPr>
      <w:rFonts w:ascii="Tahoma" w:eastAsia="PMingLiU" w:hAnsi="Tahoma"/>
      <w:kern w:val="0"/>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7B7B98"/>
    <w:pPr>
      <w:spacing w:after="160" w:line="240" w:lineRule="exact"/>
    </w:pPr>
    <w:rPr>
      <w:rFonts w:ascii="Calibri" w:hAnsi="Calibri"/>
      <w:kern w:val="0"/>
      <w:sz w:val="20"/>
      <w:szCs w:val="20"/>
      <w:vertAlign w:val="superscript"/>
    </w:rPr>
  </w:style>
  <w:style w:type="paragraph" w:styleId="NormalWeb">
    <w:name w:val="Normal (Web)"/>
    <w:basedOn w:val="Normal"/>
    <w:uiPriority w:val="99"/>
    <w:semiHidden/>
    <w:unhideWhenUsed/>
    <w:rsid w:val="00686652"/>
    <w:pPr>
      <w:spacing w:before="100" w:beforeAutospacing="1" w:after="100" w:afterAutospacing="1"/>
    </w:pPr>
    <w:rPr>
      <w:rFonts w:eastAsia="Times New Roman"/>
      <w:kern w:val="0"/>
      <w:sz w:val="24"/>
      <w:szCs w:val="24"/>
    </w:rPr>
  </w:style>
  <w:style w:type="paragraph" w:styleId="BalloonText">
    <w:name w:val="Balloon Text"/>
    <w:basedOn w:val="Normal"/>
    <w:link w:val="BalloonTextChar"/>
    <w:uiPriority w:val="99"/>
    <w:semiHidden/>
    <w:unhideWhenUsed/>
    <w:rsid w:val="00881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30"/>
    <w:rPr>
      <w:rFonts w:ascii="Segoe UI" w:eastAsia="Calibri" w:hAnsi="Segoe UI" w:cs="Segoe UI"/>
      <w:kern w:val="28"/>
      <w:sz w:val="18"/>
      <w:szCs w:val="18"/>
      <w14:ligatures w14:val="none"/>
    </w:rPr>
  </w:style>
  <w:style w:type="paragraph" w:customStyle="1" w:styleId="Char1CharCharChar1CharCharChar1CharCharCharCharCharChar1CharCharChar">
    <w:name w:val="Char1 Char Char Char1 Char Char Char1 Char Char Char Char Char Char1 Char Char Char"/>
    <w:basedOn w:val="Normal"/>
    <w:rsid w:val="003174E3"/>
    <w:pPr>
      <w:spacing w:after="160" w:line="240" w:lineRule="exact"/>
    </w:pPr>
    <w:rPr>
      <w:rFonts w:ascii="Verdana" w:eastAsia="Times New Roman" w:hAnsi="Verdana"/>
      <w:kern w:val="0"/>
      <w:sz w:val="20"/>
      <w:szCs w:val="20"/>
    </w:rPr>
  </w:style>
  <w:style w:type="table" w:styleId="TableGrid">
    <w:name w:val="Table Grid"/>
    <w:basedOn w:val="TableNormal"/>
    <w:uiPriority w:val="39"/>
    <w:rsid w:val="00110E58"/>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20333"/>
    <w:pPr>
      <w:spacing w:after="120"/>
      <w:ind w:left="283"/>
    </w:pPr>
    <w:rPr>
      <w:rFonts w:eastAsia="Times New Roman"/>
      <w:kern w:val="0"/>
      <w:sz w:val="16"/>
      <w:szCs w:val="16"/>
    </w:rPr>
  </w:style>
  <w:style w:type="character" w:customStyle="1" w:styleId="BodyTextIndent3Char">
    <w:name w:val="Body Text Indent 3 Char"/>
    <w:basedOn w:val="DefaultParagraphFont"/>
    <w:link w:val="BodyTextIndent3"/>
    <w:rsid w:val="00E20333"/>
    <w:rPr>
      <w:rFonts w:ascii="Times New Roman" w:eastAsia="Times New Roman" w:hAnsi="Times New Roman" w:cs="Times New Roman"/>
      <w:kern w:val="0"/>
      <w:sz w:val="16"/>
      <w:szCs w:val="16"/>
      <w14:ligatures w14:val="none"/>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
    <w:basedOn w:val="Normal"/>
    <w:rsid w:val="00BA2F3F"/>
    <w:pPr>
      <w:spacing w:before="120" w:after="160" w:line="240" w:lineRule="exact"/>
    </w:pPr>
    <w:rPr>
      <w:rFonts w:ascii="Calibri" w:hAnsi="Calibri"/>
      <w:kern w:val="0"/>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55601">
      <w:bodyDiv w:val="1"/>
      <w:marLeft w:val="0"/>
      <w:marRight w:val="0"/>
      <w:marTop w:val="0"/>
      <w:marBottom w:val="0"/>
      <w:divBdr>
        <w:top w:val="none" w:sz="0" w:space="0" w:color="auto"/>
        <w:left w:val="none" w:sz="0" w:space="0" w:color="auto"/>
        <w:bottom w:val="none" w:sz="0" w:space="0" w:color="auto"/>
        <w:right w:val="none" w:sz="0" w:space="0" w:color="auto"/>
      </w:divBdr>
    </w:div>
    <w:div w:id="885798683">
      <w:bodyDiv w:val="1"/>
      <w:marLeft w:val="0"/>
      <w:marRight w:val="0"/>
      <w:marTop w:val="0"/>
      <w:marBottom w:val="0"/>
      <w:divBdr>
        <w:top w:val="none" w:sz="0" w:space="0" w:color="auto"/>
        <w:left w:val="none" w:sz="0" w:space="0" w:color="auto"/>
        <w:bottom w:val="none" w:sz="0" w:space="0" w:color="auto"/>
        <w:right w:val="none" w:sz="0" w:space="0" w:color="auto"/>
      </w:divBdr>
    </w:div>
    <w:div w:id="1118991684">
      <w:bodyDiv w:val="1"/>
      <w:marLeft w:val="0"/>
      <w:marRight w:val="0"/>
      <w:marTop w:val="0"/>
      <w:marBottom w:val="0"/>
      <w:divBdr>
        <w:top w:val="none" w:sz="0" w:space="0" w:color="auto"/>
        <w:left w:val="none" w:sz="0" w:space="0" w:color="auto"/>
        <w:bottom w:val="none" w:sz="0" w:space="0" w:color="auto"/>
        <w:right w:val="none" w:sz="0" w:space="0" w:color="auto"/>
      </w:divBdr>
    </w:div>
    <w:div w:id="13521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5E6F-C10E-4479-ADA7-2626E780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Dochoivitinh</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anhtutlh@outlook.com.vn</dc:creator>
  <cp:lastModifiedBy>Windows 10</cp:lastModifiedBy>
  <cp:revision>5</cp:revision>
  <cp:lastPrinted>2025-12-26T09:19:00Z</cp:lastPrinted>
  <dcterms:created xsi:type="dcterms:W3CDTF">2025-12-28T08:53:00Z</dcterms:created>
  <dcterms:modified xsi:type="dcterms:W3CDTF">2025-12-28T09:41:00Z</dcterms:modified>
</cp:coreProperties>
</file>